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665"/>
        <w:gridCol w:w="5412"/>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ציפי כהן אביטן</w:t>
                </w:r>
              </w:sdtContent>
            </w:sdt>
          </w:p>
          <w:p w:rsidR="002914D6" w:rsidRDefault="002914D6">
            <w:pPr>
              <w:rPr>
                <w:rFonts w:ascii="Arial" w:hAnsi="Arial" w:cs="FrankRuehl"/>
                <w:sz w:val="28"/>
                <w:szCs w:val="28"/>
                <w:highlight w:val="yellow"/>
              </w:rPr>
            </w:pPr>
          </w:p>
        </w:tc>
      </w:tr>
      <w:tr w:rsidR="002914D6" w:rsidTr="00487D8E">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408" w:type="dxa"/>
                <w:gridSpan w:val="2"/>
              </w:tcPr>
              <w:p w:rsidR="002914D6" w:rsidRDefault="00487D8E" w:rsidP="00487D8E">
                <w:pPr>
                  <w:bidi w:val="0"/>
                  <w:jc w:val="right"/>
                  <w:rPr>
                    <w:rFonts w:ascii="Arial" w:hAnsi="Arial"/>
                    <w:b/>
                    <w:bCs/>
                    <w:noProof w:val="0"/>
                    <w:sz w:val="26"/>
                    <w:szCs w:val="26"/>
                    <w:rtl/>
                  </w:rPr>
                </w:pPr>
                <w:r>
                  <w:rPr>
                    <w:rFonts w:ascii="Arial" w:hAnsi="Arial" w:hint="cs"/>
                    <w:b/>
                    <w:bCs/>
                    <w:noProof w:val="0"/>
                    <w:sz w:val="26"/>
                    <w:szCs w:val="26"/>
                    <w:rtl/>
                  </w:rPr>
                  <w:t>מבקשת</w:t>
                </w:r>
              </w:p>
            </w:tc>
          </w:sdtContent>
        </w:sdt>
        <w:tc>
          <w:tcPr>
            <w:tcW w:w="5412" w:type="dxa"/>
          </w:tcPr>
          <w:p w:rsidR="002914D6" w:rsidRDefault="00BD5B6B" w:rsidP="00803DA0">
            <w:pPr>
              <w:rPr>
                <w:rStyle w:val="ac"/>
                <w:rtl/>
              </w:rPr>
            </w:pPr>
            <w:r>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sidR="00487D8E">
                  <w:rPr>
                    <w:rStyle w:val="ac"/>
                    <w:rFonts w:hint="cs"/>
                    <w:rtl/>
                  </w:rPr>
                  <w:t>ב"כ היועמ"ש/</w:t>
                </w:r>
              </w:sdtContent>
            </w:sdt>
            <w:r>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Pr>
                    <w:rStyle w:val="ac"/>
                    <w:b/>
                    <w:bCs/>
                    <w:color w:val="auto"/>
                    <w:rtl/>
                  </w:rPr>
                  <w:t>משרד הרווחה והשירותים החברתיים - תל אביב</w:t>
                </w:r>
              </w:sdtContent>
            </w:sdt>
            <w:r>
              <w:rPr>
                <w:rFonts w:hint="cs"/>
                <w:b/>
                <w:bCs/>
                <w:noProof w:val="0"/>
                <w:sz w:val="26"/>
                <w:szCs w:val="26"/>
                <w:rtl/>
              </w:rPr>
              <w:t xml:space="preserve">, </w:t>
            </w:r>
          </w:p>
          <w:p w:rsidR="00803DA0" w:rsidRDefault="00803DA0" w:rsidP="00803DA0">
            <w:pPr>
              <w:rPr>
                <w:b/>
                <w:bCs/>
                <w:noProof w:val="0"/>
                <w:sz w:val="26"/>
                <w:szCs w:val="26"/>
              </w:rPr>
            </w:pPr>
            <w:r>
              <w:rPr>
                <w:rFonts w:hint="cs"/>
                <w:b/>
                <w:bCs/>
                <w:noProof w:val="0"/>
                <w:sz w:val="26"/>
                <w:szCs w:val="26"/>
                <w:rtl/>
              </w:rPr>
              <w:t>ע"י ב"כ עוה"ד נאוה מזון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487D8E">
        <w:trPr>
          <w:jc w:val="center"/>
        </w:trPr>
        <w:tc>
          <w:tcPr>
            <w:tcW w:w="3408" w:type="dxa"/>
            <w:gridSpan w:val="2"/>
          </w:tcPr>
          <w:p w:rsidR="002914D6" w:rsidRDefault="002914D6">
            <w:pPr>
              <w:rPr>
                <w:rFonts w:ascii="Arial" w:hAnsi="Arial"/>
                <w:b/>
                <w:bCs/>
                <w:noProof w:val="0"/>
                <w:sz w:val="26"/>
                <w:szCs w:val="26"/>
                <w:rtl/>
              </w:rPr>
            </w:pPr>
          </w:p>
          <w:p w:rsidR="002914D6" w:rsidRDefault="002C29F6">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משיבים</w:t>
                </w:r>
              </w:sdtContent>
            </w:sdt>
          </w:p>
        </w:tc>
        <w:tc>
          <w:tcPr>
            <w:tcW w:w="5412" w:type="dxa"/>
          </w:tcPr>
          <w:p w:rsidR="002914D6" w:rsidRDefault="00BD5B6B" w:rsidP="00803DA0">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sidR="00803DA0">
                  <w:rPr>
                    <w:rStyle w:val="ac"/>
                    <w:rFonts w:hint="cs"/>
                    <w:rtl/>
                  </w:rPr>
                  <w:t>1. פלוניי</w:t>
                </w:r>
              </w:sdtContent>
            </w:sdt>
          </w:p>
          <w:p w:rsidR="002914D6" w:rsidRDefault="00BD5B6B" w:rsidP="00803DA0">
            <w:pPr>
              <w:rPr>
                <w:rStyle w:val="ac"/>
                <w:rtl/>
              </w:rPr>
            </w:pPr>
            <w:r>
              <w:rPr>
                <w:b/>
                <w:bCs/>
                <w:noProof w:val="0"/>
                <w:sz w:val="26"/>
                <w:szCs w:val="26"/>
                <w:rtl/>
              </w:rPr>
              <w:t xml:space="preserve"> </w:t>
            </w:r>
            <w:sdt>
              <w:sdtPr>
                <w:rPr>
                  <w:b/>
                  <w:bCs/>
                  <w:noProof w:val="0"/>
                  <w:sz w:val="26"/>
                  <w:szCs w:val="26"/>
                  <w:rtl/>
                </w:rPr>
                <w:alias w:val="1571"/>
                <w:tag w:val="1571"/>
                <w:id w:val="-2054691717"/>
                <w:text w:multiLine="1"/>
              </w:sdtPr>
              <w:sdtEndPr/>
              <w:sdtContent>
                <w:r w:rsidR="00487D8E">
                  <w:rPr>
                    <w:rStyle w:val="ac"/>
                    <w:rFonts w:hint="cs"/>
                    <w:rtl/>
                  </w:rPr>
                  <w:t>2.</w:t>
                </w:r>
              </w:sdtContent>
            </w:sdt>
            <w:r>
              <w:rPr>
                <w:rFonts w:hint="cs"/>
                <w:b/>
                <w:bCs/>
                <w:noProof w:val="0"/>
                <w:sz w:val="26"/>
                <w:szCs w:val="26"/>
                <w:rtl/>
              </w:rPr>
              <w:t xml:space="preserve"> </w:t>
            </w:r>
            <w:r w:rsidR="00803DA0">
              <w:rPr>
                <w:rStyle w:val="ac"/>
                <w:rFonts w:hint="cs"/>
                <w:rtl/>
              </w:rPr>
              <w:t>פלונית</w:t>
            </w:r>
          </w:p>
          <w:p w:rsidR="00803DA0" w:rsidRDefault="00803DA0" w:rsidP="00803DA0">
            <w:pPr>
              <w:rPr>
                <w:b/>
                <w:bCs/>
                <w:noProof w:val="0"/>
                <w:sz w:val="26"/>
                <w:szCs w:val="26"/>
                <w:rtl/>
              </w:rPr>
            </w:pPr>
            <w:r>
              <w:rPr>
                <w:rFonts w:hint="cs"/>
                <w:b/>
                <w:bCs/>
                <w:noProof w:val="0"/>
                <w:sz w:val="26"/>
                <w:szCs w:val="26"/>
                <w:rtl/>
              </w:rPr>
              <w:t>ע"י ב"כ עוה"ד יוסי ביטון</w:t>
            </w:r>
          </w:p>
        </w:tc>
      </w:tr>
    </w:tbl>
    <w:p w:rsidR="002914D6" w:rsidRDefault="002914D6"/>
    <w:p w:rsidR="002914D6" w:rsidRPr="00487D8E" w:rsidRDefault="00487D8E">
      <w:pPr>
        <w:rPr>
          <w:b/>
          <w:bCs/>
          <w:u w:val="single"/>
        </w:rPr>
      </w:pPr>
      <w:r>
        <w:rPr>
          <w:rFonts w:hint="cs"/>
          <w:b/>
          <w:bCs/>
          <w:u w:val="single"/>
          <w:rtl/>
        </w:rPr>
        <w:t xml:space="preserve">בענין הקטינה: </w:t>
      </w:r>
      <w:r w:rsidR="00803DA0">
        <w:rPr>
          <w:rFonts w:hint="cs"/>
          <w:b/>
          <w:bCs/>
          <w:u w:val="single"/>
        </w:rPr>
        <w:t>XXXX</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Pr="00487D8E" w:rsidRDefault="002914D6">
            <w:pPr>
              <w:bidi w:val="0"/>
              <w:jc w:val="center"/>
              <w:rPr>
                <w:rFonts w:ascii="Arial" w:hAnsi="Arial"/>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Pr="00874B15" w:rsidRDefault="002914D6">
      <w:pPr>
        <w:spacing w:line="360" w:lineRule="auto"/>
        <w:jc w:val="both"/>
        <w:rPr>
          <w:rFonts w:ascii="David" w:hAnsi="David"/>
          <w:noProof w:val="0"/>
          <w:rtl/>
        </w:rPr>
      </w:pPr>
    </w:p>
    <w:p w:rsidR="00487D8E" w:rsidRPr="00874B15" w:rsidRDefault="00487D8E" w:rsidP="00803DA0">
      <w:pPr>
        <w:numPr>
          <w:ilvl w:val="0"/>
          <w:numId w:val="1"/>
        </w:numPr>
        <w:spacing w:after="160" w:line="360" w:lineRule="auto"/>
        <w:contextualSpacing/>
        <w:jc w:val="both"/>
        <w:rPr>
          <w:rFonts w:ascii="David" w:hAnsi="David"/>
          <w:noProof w:val="0"/>
        </w:rPr>
      </w:pPr>
      <w:r w:rsidRPr="00487D8E">
        <w:rPr>
          <w:rFonts w:ascii="David" w:hAnsi="David"/>
          <w:noProof w:val="0"/>
          <w:rtl/>
        </w:rPr>
        <w:t xml:space="preserve">לפני בקשה דחופה לאישור פעולה רפואית עפ"י </w:t>
      </w:r>
      <w:r w:rsidRPr="00487D8E">
        <w:rPr>
          <w:rFonts w:ascii="David" w:hAnsi="David"/>
          <w:b/>
          <w:bCs/>
          <w:noProof w:val="0"/>
          <w:rtl/>
        </w:rPr>
        <w:t>סעיף 68(ב) לחוק הכשרות המשפטית והאפוטרופסות, תשכ"ב-1962</w:t>
      </w:r>
      <w:r w:rsidRPr="00487D8E">
        <w:rPr>
          <w:rFonts w:ascii="David" w:hAnsi="David"/>
          <w:noProof w:val="0"/>
          <w:rtl/>
        </w:rPr>
        <w:t xml:space="preserve">, במסגרתה עותרת ב"כ היועמ"ש כי בימ"ש יעשה שימוש בסמכותו ויורה על מתן חיסון טטנוס באופן מיידי לקטינה, </w:t>
      </w:r>
      <w:r w:rsidR="00803DA0">
        <w:rPr>
          <w:rFonts w:ascii="David" w:hAnsi="David" w:hint="cs"/>
          <w:noProof w:val="0"/>
        </w:rPr>
        <w:t>XXXX</w:t>
      </w:r>
      <w:r w:rsidRPr="00487D8E">
        <w:rPr>
          <w:rFonts w:ascii="David" w:hAnsi="David"/>
          <w:noProof w:val="0"/>
          <w:rtl/>
        </w:rPr>
        <w:t>(להלן: "</w:t>
      </w:r>
      <w:r w:rsidRPr="00487D8E">
        <w:rPr>
          <w:rFonts w:ascii="David" w:hAnsi="David"/>
          <w:b/>
          <w:bCs/>
          <w:noProof w:val="0"/>
          <w:rtl/>
        </w:rPr>
        <w:t>הקטינה</w:t>
      </w:r>
      <w:r w:rsidRPr="00487D8E">
        <w:rPr>
          <w:rFonts w:ascii="David" w:hAnsi="David"/>
          <w:noProof w:val="0"/>
          <w:rtl/>
        </w:rPr>
        <w:t>"), אשר נחבלה ביום 31.8.2024, לצורך שמירה על שלומה הגופני של הקטינה ומניעת סיכון לחייה, בנסיבות בהן ההורים מתנגדים למתן החיסון.</w:t>
      </w:r>
    </w:p>
    <w:p w:rsidR="00487D8E" w:rsidRPr="00874B15" w:rsidRDefault="00487D8E" w:rsidP="00487D8E">
      <w:pPr>
        <w:spacing w:after="160" w:line="360" w:lineRule="auto"/>
        <w:ind w:left="720"/>
        <w:contextualSpacing/>
        <w:jc w:val="both"/>
        <w:rPr>
          <w:rFonts w:ascii="David" w:hAnsi="David"/>
          <w:noProof w:val="0"/>
        </w:rPr>
      </w:pPr>
    </w:p>
    <w:p w:rsidR="00487D8E" w:rsidRPr="00874B15" w:rsidRDefault="00487D8E" w:rsidP="00487D8E">
      <w:pPr>
        <w:numPr>
          <w:ilvl w:val="0"/>
          <w:numId w:val="1"/>
        </w:numPr>
        <w:spacing w:after="160" w:line="360" w:lineRule="auto"/>
        <w:contextualSpacing/>
        <w:jc w:val="both"/>
        <w:rPr>
          <w:rFonts w:ascii="David" w:hAnsi="David"/>
          <w:noProof w:val="0"/>
        </w:rPr>
      </w:pPr>
      <w:r w:rsidRPr="00487D8E">
        <w:rPr>
          <w:rFonts w:ascii="David" w:hAnsi="David"/>
          <w:noProof w:val="0"/>
          <w:rtl/>
        </w:rPr>
        <w:t>הבקשה הומצאה להורים בפתח הדיון</w:t>
      </w:r>
      <w:bookmarkStart w:id="1" w:name="ABSTRACT_END"/>
      <w:bookmarkEnd w:id="1"/>
      <w:r w:rsidRPr="00487D8E">
        <w:rPr>
          <w:rFonts w:ascii="David" w:hAnsi="David"/>
          <w:noProof w:val="0"/>
          <w:rtl/>
        </w:rPr>
        <w:t>.</w:t>
      </w:r>
    </w:p>
    <w:p w:rsidR="00487D8E" w:rsidRPr="00874B15" w:rsidRDefault="00487D8E" w:rsidP="00487D8E">
      <w:pPr>
        <w:pStyle w:val="ad"/>
        <w:rPr>
          <w:rFonts w:ascii="David" w:hAnsi="David"/>
          <w:noProof w:val="0"/>
          <w:rtl/>
        </w:rPr>
      </w:pPr>
    </w:p>
    <w:p w:rsidR="00487D8E" w:rsidRPr="00487D8E" w:rsidRDefault="00487D8E" w:rsidP="00487D8E">
      <w:pPr>
        <w:numPr>
          <w:ilvl w:val="0"/>
          <w:numId w:val="1"/>
        </w:numPr>
        <w:spacing w:after="160" w:line="360" w:lineRule="auto"/>
        <w:contextualSpacing/>
        <w:jc w:val="both"/>
        <w:rPr>
          <w:rFonts w:ascii="David" w:hAnsi="David"/>
          <w:noProof w:val="0"/>
          <w:rtl/>
        </w:rPr>
      </w:pPr>
      <w:r w:rsidRPr="00487D8E">
        <w:rPr>
          <w:rFonts w:ascii="David" w:hAnsi="David"/>
          <w:noProof w:val="0"/>
          <w:rtl/>
        </w:rPr>
        <w:t>מהבקשה עולה הרקע העובדתי המפורט להלן:</w:t>
      </w:r>
    </w:p>
    <w:p w:rsidR="00487D8E" w:rsidRPr="00487D8E" w:rsidRDefault="00487D8E" w:rsidP="00487D8E">
      <w:pPr>
        <w:spacing w:line="360" w:lineRule="auto"/>
        <w:ind w:left="566" w:firstLine="154"/>
        <w:contextualSpacing/>
        <w:jc w:val="both"/>
        <w:rPr>
          <w:rFonts w:ascii="David" w:hAnsi="David"/>
          <w:noProof w:val="0"/>
        </w:rPr>
      </w:pPr>
      <w:r w:rsidRPr="00487D8E">
        <w:rPr>
          <w:rFonts w:ascii="David" w:hAnsi="David"/>
          <w:noProof w:val="0"/>
          <w:rtl/>
        </w:rPr>
        <w:t>הקטינה הינה ביתם היחידה של המשיבים.</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t>הקטינה אינה מחוסנת כלל לחיסוני השגרה המומלצים ע"י משרד הבריאות, לרבות חיסון כנגד טטנוס.</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lastRenderedPageBreak/>
        <w:t>ביום 31.8.2024 נחבלה הקטינה מקיר בטון, בו התנגשה תוך כדי ריצה, ונפצעה באפרכסת אוזן שמאל. בשל הפציעה הובאה הקטינה ע"י הוריה למר"ד ילדים במרכז הרפואי "וולפסון" בשעות הערב, שם הומלץ לחסנה כנגד טטנוס לאור נסיבות הפציעה ועומק החתך.</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t>חרף המלצות הצוות הרפואי,  סירבו המשיבים לחסן את הקטינה, תוך שחתמו על טופס סירוב.</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t>למחרת, ביום 1.9.2024, פנתה עו"ס המרכז הרפואי אל עו"ס לסדרי דין בעירית חולון וביקשה התערבותה לאור סירוב ההורים במתן החיסון.</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t xml:space="preserve">ביום 2.9.2024 נתקבלה פניה במחלקת הרווחה בחולון מהצוות הרפואי במחלקת מלר"ד, בה תואר המקרה הפרטני של הקטינה, כאשר צוינו הסיכונים של אי מתן החיסון והחשש לסכנה ממשית לחיי הקטינה, וזאת בשים לב כי הקטינה מעולם לא חוסנה ועת החתך מהפציעה עבר את כל שכבות העור ומגיע עד הרקמות העמוקות של הסחוס. </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t>אך למרות הסברי הרופאים, לרבות רופא הילדים של קופ"ח, ועל אף פניות העו"ס לסדרי דין עמדו המשיבים בסירובם לחסן את הקטינה.</w:t>
      </w:r>
    </w:p>
    <w:p w:rsidR="00487D8E" w:rsidRPr="00487D8E" w:rsidRDefault="00487D8E" w:rsidP="00487D8E">
      <w:pPr>
        <w:spacing w:line="360" w:lineRule="auto"/>
        <w:contextualSpacing/>
        <w:jc w:val="both"/>
        <w:rPr>
          <w:rFonts w:ascii="David" w:hAnsi="David"/>
          <w:noProof w:val="0"/>
          <w:rtl/>
        </w:rPr>
      </w:pPr>
    </w:p>
    <w:p w:rsidR="00487D8E" w:rsidRPr="00874B15" w:rsidRDefault="00487D8E" w:rsidP="00487D8E">
      <w:pPr>
        <w:numPr>
          <w:ilvl w:val="0"/>
          <w:numId w:val="1"/>
        </w:numPr>
        <w:spacing w:after="160" w:line="360" w:lineRule="auto"/>
        <w:contextualSpacing/>
        <w:rPr>
          <w:rFonts w:ascii="David" w:hAnsi="David"/>
          <w:noProof w:val="0"/>
        </w:rPr>
      </w:pPr>
      <w:r w:rsidRPr="00487D8E">
        <w:rPr>
          <w:rFonts w:ascii="David" w:hAnsi="David"/>
          <w:noProof w:val="0"/>
          <w:rtl/>
        </w:rPr>
        <w:t>הבקשה הוגשה היום (בשעה 10:55). לבקשה צורפו: מכתב שחרור רפואי מיום 31.8.2024, מכתב מיום 2.9.2025 מביה"ח  אל העו"ס לסדרי דין, פניית העו"ס לסדרי דין לב"כ היועמ"ש ופסיקה רלוונטית.</w:t>
      </w:r>
    </w:p>
    <w:p w:rsidR="00487D8E" w:rsidRPr="00487D8E" w:rsidRDefault="00487D8E" w:rsidP="00487D8E">
      <w:pPr>
        <w:spacing w:after="160" w:line="360" w:lineRule="auto"/>
        <w:ind w:left="720"/>
        <w:contextualSpacing/>
        <w:rPr>
          <w:rFonts w:ascii="David" w:hAnsi="David"/>
          <w:noProof w:val="0"/>
        </w:rPr>
      </w:pPr>
    </w:p>
    <w:p w:rsidR="00487D8E" w:rsidRPr="00874B15" w:rsidRDefault="00487D8E" w:rsidP="00487D8E">
      <w:pPr>
        <w:numPr>
          <w:ilvl w:val="0"/>
          <w:numId w:val="1"/>
        </w:numPr>
        <w:spacing w:after="160" w:line="360" w:lineRule="auto"/>
        <w:contextualSpacing/>
        <w:rPr>
          <w:rFonts w:ascii="David" w:hAnsi="David"/>
          <w:noProof w:val="0"/>
        </w:rPr>
      </w:pPr>
      <w:r w:rsidRPr="00487D8E">
        <w:rPr>
          <w:rFonts w:ascii="David" w:hAnsi="David"/>
          <w:noProof w:val="0"/>
          <w:rtl/>
        </w:rPr>
        <w:t xml:space="preserve">עם קבלת הבקשה היום נקבע מועד לדיון במעמד הצדדים לשעה 13:30. </w:t>
      </w:r>
    </w:p>
    <w:p w:rsidR="00487D8E" w:rsidRPr="00874B15" w:rsidRDefault="00487D8E" w:rsidP="00487D8E">
      <w:pPr>
        <w:pStyle w:val="ad"/>
        <w:rPr>
          <w:rFonts w:ascii="David" w:hAnsi="David"/>
          <w:noProof w:val="0"/>
          <w:rtl/>
        </w:rPr>
      </w:pPr>
    </w:p>
    <w:p w:rsidR="00487D8E" w:rsidRPr="00487D8E" w:rsidRDefault="00487D8E" w:rsidP="00487D8E">
      <w:pPr>
        <w:spacing w:after="160" w:line="360" w:lineRule="auto"/>
        <w:ind w:left="720"/>
        <w:contextualSpacing/>
        <w:rPr>
          <w:rFonts w:ascii="David" w:hAnsi="David"/>
          <w:noProof w:val="0"/>
        </w:rPr>
      </w:pPr>
      <w:r w:rsidRPr="00487D8E">
        <w:rPr>
          <w:rFonts w:ascii="David" w:hAnsi="David"/>
          <w:noProof w:val="0"/>
          <w:rtl/>
        </w:rPr>
        <w:t xml:space="preserve">בפתח הדיון </w:t>
      </w:r>
      <w:r w:rsidRPr="00874B15">
        <w:rPr>
          <w:rFonts w:ascii="David" w:hAnsi="David"/>
          <w:noProof w:val="0"/>
          <w:rtl/>
        </w:rPr>
        <w:t xml:space="preserve">נתברר לבית המשפט כי המשיב </w:t>
      </w:r>
      <w:r w:rsidRPr="00487D8E">
        <w:rPr>
          <w:rFonts w:ascii="David" w:hAnsi="David"/>
          <w:noProof w:val="0"/>
          <w:rtl/>
        </w:rPr>
        <w:t>אינו דובר את השפה העברית, אך ניסיונות מזכירות בית המשפט לאתר מתורגמן בהתראה קצרה, לא צלחו.</w:t>
      </w:r>
    </w:p>
    <w:p w:rsidR="00487D8E" w:rsidRPr="00487D8E" w:rsidRDefault="00487D8E" w:rsidP="00487D8E">
      <w:pPr>
        <w:spacing w:line="360" w:lineRule="auto"/>
        <w:ind w:left="720"/>
        <w:contextualSpacing/>
        <w:rPr>
          <w:rFonts w:ascii="David" w:hAnsi="David"/>
          <w:noProof w:val="0"/>
          <w:rtl/>
        </w:rPr>
      </w:pPr>
      <w:r w:rsidRPr="00487D8E">
        <w:rPr>
          <w:rFonts w:ascii="David" w:hAnsi="David"/>
          <w:noProof w:val="0"/>
          <w:rtl/>
        </w:rPr>
        <w:t>לבסוף נמצא פתרון בדמות מתורגמנית לשפה הרוסית באמצעות שיחת טלפון.</w:t>
      </w:r>
    </w:p>
    <w:p w:rsidR="00487D8E" w:rsidRPr="00487D8E" w:rsidRDefault="00487D8E" w:rsidP="00487D8E">
      <w:pPr>
        <w:spacing w:line="360" w:lineRule="auto"/>
        <w:ind w:left="720"/>
        <w:contextualSpacing/>
        <w:rPr>
          <w:rFonts w:ascii="David" w:hAnsi="David"/>
          <w:noProof w:val="0"/>
          <w:rtl/>
        </w:rPr>
      </w:pPr>
      <w:r w:rsidRPr="00487D8E">
        <w:rPr>
          <w:rFonts w:ascii="David" w:hAnsi="David"/>
          <w:noProof w:val="0"/>
          <w:rtl/>
        </w:rPr>
        <w:t>כמו כן, נמסר ע"י המשיבים כי פנו ליצוג משפטי לעוה"ד יוסי ביטון.</w:t>
      </w:r>
    </w:p>
    <w:p w:rsidR="00487D8E" w:rsidRPr="00487D8E" w:rsidRDefault="00487D8E" w:rsidP="00487D8E">
      <w:pPr>
        <w:spacing w:line="360" w:lineRule="auto"/>
        <w:ind w:left="720"/>
        <w:contextualSpacing/>
        <w:jc w:val="both"/>
        <w:rPr>
          <w:rFonts w:ascii="David" w:hAnsi="David"/>
          <w:noProof w:val="0"/>
          <w:rtl/>
        </w:rPr>
      </w:pPr>
      <w:r w:rsidRPr="00487D8E">
        <w:rPr>
          <w:rFonts w:ascii="David" w:hAnsi="David"/>
          <w:noProof w:val="0"/>
          <w:rtl/>
        </w:rPr>
        <w:lastRenderedPageBreak/>
        <w:t>משב"כ המשיבים לא יכל להתייצב לדיון, אפשר בית המשפט השתתפות "טלפונית" בדיון.</w:t>
      </w:r>
    </w:p>
    <w:p w:rsidR="00487D8E" w:rsidRPr="00487D8E" w:rsidRDefault="00487D8E" w:rsidP="00487D8E">
      <w:pPr>
        <w:spacing w:line="360" w:lineRule="auto"/>
        <w:ind w:left="720"/>
        <w:contextualSpacing/>
        <w:jc w:val="both"/>
        <w:rPr>
          <w:rFonts w:ascii="David" w:hAnsi="David"/>
          <w:noProof w:val="0"/>
          <w:rtl/>
        </w:rPr>
      </w:pPr>
    </w:p>
    <w:p w:rsidR="00023A60" w:rsidRPr="00874B15" w:rsidRDefault="00487D8E" w:rsidP="00023A60">
      <w:pPr>
        <w:numPr>
          <w:ilvl w:val="0"/>
          <w:numId w:val="1"/>
        </w:numPr>
        <w:spacing w:after="160" w:line="360" w:lineRule="auto"/>
        <w:contextualSpacing/>
        <w:jc w:val="both"/>
        <w:rPr>
          <w:rFonts w:ascii="David" w:hAnsi="David"/>
          <w:noProof w:val="0"/>
          <w:rtl/>
        </w:rPr>
      </w:pPr>
      <w:r w:rsidRPr="00487D8E">
        <w:rPr>
          <w:rFonts w:ascii="David" w:hAnsi="David"/>
          <w:noProof w:val="0"/>
          <w:rtl/>
        </w:rPr>
        <w:t>בית המשפט קיים דיון ממושך, חרף הקשיים הפיזיים והטכנולוגים, תוך שנשמעו טענות ב"כ היועמ"ש ברווחה וטענות המשיבים באמצעות בא כוחם (טלפונית).</w:t>
      </w:r>
      <w:r w:rsidR="00023A60" w:rsidRPr="00874B15">
        <w:rPr>
          <w:rFonts w:ascii="David" w:hAnsi="David"/>
          <w:rtl/>
        </w:rPr>
        <w:t xml:space="preserve"> </w:t>
      </w:r>
    </w:p>
    <w:p w:rsidR="00023A60" w:rsidRPr="00874B15" w:rsidRDefault="00023A60" w:rsidP="00023A60">
      <w:pPr>
        <w:spacing w:after="160" w:line="360" w:lineRule="auto"/>
        <w:ind w:left="720"/>
        <w:contextualSpacing/>
        <w:jc w:val="both"/>
        <w:rPr>
          <w:rFonts w:ascii="David" w:hAnsi="David"/>
          <w:noProof w:val="0"/>
          <w:rtl/>
        </w:rPr>
      </w:pPr>
      <w:r w:rsidRPr="00874B15">
        <w:rPr>
          <w:rFonts w:ascii="David" w:hAnsi="David"/>
          <w:noProof w:val="0"/>
          <w:rtl/>
        </w:rPr>
        <w:t>כמו כן, נשמעה עדותה (הטלפונית) של ד"ר דיאנה טשר זהומולוגית - מנהלת היחידה למחלות זיהומיות בילדים בביה"ח "וולפסון" וסגנית מחלקת ילדים. ואף נתאפשר לב"כ המשיבים לחקור אותה על המלצתה בעניין ביצוע החיסון לקטינה.</w:t>
      </w:r>
    </w:p>
    <w:p w:rsidR="00023A60" w:rsidRPr="00874B15" w:rsidRDefault="00023A60" w:rsidP="00023A60">
      <w:pPr>
        <w:spacing w:after="160" w:line="360" w:lineRule="auto"/>
        <w:ind w:left="720"/>
        <w:contextualSpacing/>
        <w:jc w:val="both"/>
        <w:rPr>
          <w:rFonts w:ascii="David" w:hAnsi="David"/>
          <w:noProof w:val="0"/>
          <w:rtl/>
        </w:rPr>
      </w:pPr>
    </w:p>
    <w:p w:rsidR="00487D8E" w:rsidRPr="00874B15" w:rsidRDefault="00487D8E" w:rsidP="00023A60">
      <w:pPr>
        <w:numPr>
          <w:ilvl w:val="0"/>
          <w:numId w:val="1"/>
        </w:numPr>
        <w:spacing w:after="160" w:line="360" w:lineRule="auto"/>
        <w:ind w:left="566" w:hanging="426"/>
        <w:contextualSpacing/>
        <w:jc w:val="both"/>
        <w:rPr>
          <w:rFonts w:ascii="David" w:hAnsi="David"/>
          <w:noProof w:val="0"/>
        </w:rPr>
      </w:pPr>
      <w:r w:rsidRPr="00487D8E">
        <w:rPr>
          <w:rFonts w:ascii="David" w:hAnsi="David"/>
          <w:noProof w:val="0"/>
          <w:rtl/>
        </w:rPr>
        <w:t>בתום הדיון, אפשרתי למשיבים להציג חוות דעת נגדית וזאת עד היום בשעה 20:00.</w:t>
      </w:r>
    </w:p>
    <w:p w:rsidR="00023A60" w:rsidRPr="00874B15" w:rsidRDefault="00023A60" w:rsidP="00023A60">
      <w:pPr>
        <w:spacing w:after="160" w:line="360" w:lineRule="auto"/>
        <w:ind w:left="566"/>
        <w:contextualSpacing/>
        <w:jc w:val="both"/>
        <w:rPr>
          <w:rFonts w:ascii="David" w:hAnsi="David"/>
          <w:noProof w:val="0"/>
          <w:rtl/>
        </w:rPr>
      </w:pPr>
      <w:r w:rsidRPr="00874B15">
        <w:rPr>
          <w:rFonts w:ascii="David" w:hAnsi="David"/>
          <w:noProof w:val="0"/>
          <w:rtl/>
        </w:rPr>
        <w:t xml:space="preserve">חוות דעת כאמור לא הוגשה. כאשר ב"כ המשיבים הגיש הודעה, במסגרתה מסר כי לא עלה בידי המשיבים להמציא חוות הדעת עד לעת הזו, וכי המשיבים שבים וחוזרים על עמדתם כי יש להביא הסוגיה, עפ"י חוק זכויות החולה, לפתחה של ועדת האתיקה, אשר תהווה חוות הדעת הרפואית הנדרשת. </w:t>
      </w:r>
    </w:p>
    <w:p w:rsidR="00023A60" w:rsidRPr="00874B15" w:rsidRDefault="00023A60" w:rsidP="00023A60">
      <w:pPr>
        <w:spacing w:after="160" w:line="360" w:lineRule="auto"/>
        <w:ind w:left="566"/>
        <w:contextualSpacing/>
        <w:jc w:val="both"/>
        <w:rPr>
          <w:rFonts w:ascii="David" w:hAnsi="David"/>
          <w:noProof w:val="0"/>
        </w:rPr>
      </w:pPr>
    </w:p>
    <w:p w:rsidR="00487D8E" w:rsidRPr="00874B15" w:rsidRDefault="00487D8E" w:rsidP="00023A60">
      <w:pPr>
        <w:numPr>
          <w:ilvl w:val="0"/>
          <w:numId w:val="1"/>
        </w:numPr>
        <w:spacing w:after="160" w:line="360" w:lineRule="auto"/>
        <w:ind w:left="566" w:hanging="426"/>
        <w:contextualSpacing/>
        <w:jc w:val="both"/>
        <w:rPr>
          <w:rFonts w:ascii="David" w:hAnsi="David"/>
          <w:noProof w:val="0"/>
        </w:rPr>
      </w:pPr>
      <w:r w:rsidRPr="00487D8E">
        <w:rPr>
          <w:rFonts w:ascii="David" w:hAnsi="David"/>
          <w:noProof w:val="0"/>
          <w:rtl/>
        </w:rPr>
        <w:t>לאחר שעיינתי בבקשה על מצורפיה,</w:t>
      </w:r>
      <w:r w:rsidR="00023A60" w:rsidRPr="00874B15">
        <w:rPr>
          <w:rFonts w:ascii="David" w:hAnsi="David"/>
          <w:noProof w:val="0"/>
          <w:rtl/>
        </w:rPr>
        <w:t xml:space="preserve"> ולאחר שמיעת טענות הצדדים ועדותה</w:t>
      </w:r>
      <w:r w:rsidRPr="00487D8E">
        <w:rPr>
          <w:rFonts w:ascii="David" w:hAnsi="David"/>
          <w:noProof w:val="0"/>
          <w:rtl/>
        </w:rPr>
        <w:t xml:space="preserve"> של ד"ר דיאנה טשר– אני נעתרת לבקשה, ואנמק.</w:t>
      </w:r>
    </w:p>
    <w:p w:rsidR="00023A60" w:rsidRPr="00874B15" w:rsidRDefault="00023A60" w:rsidP="00023A60">
      <w:pPr>
        <w:spacing w:after="160" w:line="360" w:lineRule="auto"/>
        <w:ind w:left="566"/>
        <w:contextualSpacing/>
        <w:jc w:val="both"/>
        <w:rPr>
          <w:rFonts w:ascii="David" w:hAnsi="David"/>
          <w:noProof w:val="0"/>
        </w:rPr>
      </w:pPr>
    </w:p>
    <w:p w:rsidR="00487D8E" w:rsidRPr="00874B15" w:rsidRDefault="00487D8E" w:rsidP="00023A60">
      <w:pPr>
        <w:numPr>
          <w:ilvl w:val="0"/>
          <w:numId w:val="1"/>
        </w:numPr>
        <w:spacing w:after="160" w:line="360" w:lineRule="auto"/>
        <w:ind w:left="566" w:hanging="426"/>
        <w:contextualSpacing/>
        <w:jc w:val="both"/>
        <w:rPr>
          <w:rFonts w:ascii="David" w:hAnsi="David"/>
          <w:noProof w:val="0"/>
        </w:rPr>
      </w:pPr>
      <w:r w:rsidRPr="00487D8E">
        <w:rPr>
          <w:rFonts w:ascii="David" w:hAnsi="David"/>
          <w:noProof w:val="0"/>
          <w:rtl/>
        </w:rPr>
        <w:t>ראשית,</w:t>
      </w:r>
      <w:r w:rsidR="00023A60" w:rsidRPr="00874B15">
        <w:rPr>
          <w:rFonts w:ascii="David" w:hAnsi="David"/>
          <w:noProof w:val="0"/>
          <w:rtl/>
        </w:rPr>
        <w:t xml:space="preserve"> אציין כי לא הוגשה חוו</w:t>
      </w:r>
      <w:r w:rsidR="00E97ADE" w:rsidRPr="00874B15">
        <w:rPr>
          <w:rFonts w:ascii="David" w:hAnsi="David"/>
          <w:noProof w:val="0"/>
          <w:rtl/>
        </w:rPr>
        <w:t xml:space="preserve">ת </w:t>
      </w:r>
      <w:r w:rsidRPr="00487D8E">
        <w:rPr>
          <w:rFonts w:ascii="David" w:hAnsi="David"/>
          <w:noProof w:val="0"/>
          <w:rtl/>
        </w:rPr>
        <w:t>דעת נגדית מטעם המשיבים, הסותרת את המלצות הצוות הרפואי בביה"ח "וולפסון".</w:t>
      </w:r>
    </w:p>
    <w:p w:rsidR="00E97ADE" w:rsidRPr="00874B15" w:rsidRDefault="00E97ADE" w:rsidP="00E97ADE">
      <w:pPr>
        <w:pStyle w:val="ad"/>
        <w:rPr>
          <w:rFonts w:ascii="David" w:hAnsi="David"/>
          <w:noProof w:val="0"/>
          <w:rtl/>
        </w:rPr>
      </w:pPr>
    </w:p>
    <w:p w:rsidR="00E97ADE" w:rsidRPr="00874B15" w:rsidRDefault="00E97ADE" w:rsidP="00E97ADE">
      <w:pPr>
        <w:numPr>
          <w:ilvl w:val="0"/>
          <w:numId w:val="1"/>
        </w:numPr>
        <w:spacing w:after="160" w:line="360" w:lineRule="auto"/>
        <w:contextualSpacing/>
        <w:rPr>
          <w:rFonts w:ascii="David" w:hAnsi="David"/>
          <w:noProof w:val="0"/>
        </w:rPr>
      </w:pPr>
      <w:r w:rsidRPr="00874B15">
        <w:rPr>
          <w:rFonts w:ascii="David" w:hAnsi="David"/>
          <w:noProof w:val="0"/>
          <w:rtl/>
        </w:rPr>
        <w:lastRenderedPageBreak/>
        <w:t xml:space="preserve">מנגד, </w:t>
      </w:r>
      <w:r w:rsidR="00487D8E" w:rsidRPr="00487D8E">
        <w:rPr>
          <w:rFonts w:ascii="David" w:hAnsi="David"/>
          <w:noProof w:val="0"/>
          <w:rtl/>
        </w:rPr>
        <w:t>כפי העולה מהחומר הרפואי שצורף לבקשה ומעדותה (הטלפונית) של ד"ר טשר, אי מתן חיסון לקטינה, נוכח אופי וחומרת פציעתה והעובדה כי אינה מחוסנת כלל, מהווה סכנה אפשרית לחייה. כאשר יש לתת את החיסונים בהקדם האפשרי, שכן יעילותם פוחתת ככח שחולף הזמן מאז הפציעה.</w:t>
      </w:r>
      <w:r w:rsidRPr="00874B15">
        <w:rPr>
          <w:rFonts w:ascii="David" w:hAnsi="David"/>
          <w:rtl/>
        </w:rPr>
        <w:t xml:space="preserve"> </w:t>
      </w:r>
    </w:p>
    <w:p w:rsidR="00E97ADE" w:rsidRPr="00874B15" w:rsidRDefault="00E97ADE" w:rsidP="00E97ADE">
      <w:pPr>
        <w:pStyle w:val="ad"/>
        <w:rPr>
          <w:rFonts w:ascii="David" w:hAnsi="David"/>
          <w:noProof w:val="0"/>
          <w:rtl/>
        </w:rPr>
      </w:pPr>
    </w:p>
    <w:p w:rsidR="00E97ADE" w:rsidRPr="00874B15" w:rsidRDefault="00E97ADE" w:rsidP="00E97ADE">
      <w:pPr>
        <w:spacing w:after="160" w:line="360" w:lineRule="auto"/>
        <w:ind w:left="720"/>
        <w:contextualSpacing/>
        <w:rPr>
          <w:rFonts w:ascii="David" w:hAnsi="David"/>
          <w:noProof w:val="0"/>
          <w:rtl/>
        </w:rPr>
      </w:pPr>
      <w:r w:rsidRPr="00874B15">
        <w:rPr>
          <w:rFonts w:ascii="David" w:hAnsi="David"/>
          <w:noProof w:val="0"/>
          <w:rtl/>
        </w:rPr>
        <w:t>עוד נמסר ע"י הגורמים הרפואיים כי המדובר בחיסון יעיל ובטוח, בעל תופעות לוואי מתונות וחולפות.</w:t>
      </w:r>
    </w:p>
    <w:p w:rsidR="00487D8E" w:rsidRPr="00874B15" w:rsidRDefault="00E97ADE" w:rsidP="00E97ADE">
      <w:pPr>
        <w:spacing w:after="160" w:line="360" w:lineRule="auto"/>
        <w:ind w:left="720"/>
        <w:contextualSpacing/>
        <w:jc w:val="both"/>
        <w:rPr>
          <w:rFonts w:ascii="David" w:hAnsi="David"/>
          <w:noProof w:val="0"/>
        </w:rPr>
      </w:pPr>
      <w:r w:rsidRPr="00874B15">
        <w:rPr>
          <w:rFonts w:ascii="David" w:hAnsi="David"/>
          <w:noProof w:val="0"/>
          <w:rtl/>
        </w:rPr>
        <w:t xml:space="preserve">(ר': </w:t>
      </w:r>
      <w:r w:rsidRPr="00874B15">
        <w:rPr>
          <w:rFonts w:ascii="David" w:hAnsi="David"/>
          <w:b/>
          <w:bCs/>
          <w:noProof w:val="0"/>
          <w:rtl/>
        </w:rPr>
        <w:t>מכתבן של ד"ר מאירסון וד"ר טשר מיום 2.9.2024 המצורף לבקשה וכן עדותה של ד"ר טשר בעמ' 6 לפרו'</w:t>
      </w:r>
      <w:r w:rsidRPr="00874B15">
        <w:rPr>
          <w:rFonts w:ascii="David" w:hAnsi="David"/>
          <w:noProof w:val="0"/>
          <w:rtl/>
        </w:rPr>
        <w:t>).</w:t>
      </w:r>
    </w:p>
    <w:p w:rsidR="00E97ADE" w:rsidRPr="00874B15" w:rsidRDefault="00E97ADE" w:rsidP="00E97ADE">
      <w:pPr>
        <w:pStyle w:val="ad"/>
        <w:rPr>
          <w:rFonts w:ascii="David" w:hAnsi="David"/>
          <w:noProof w:val="0"/>
          <w:rtl/>
        </w:rPr>
      </w:pPr>
    </w:p>
    <w:p w:rsidR="00E97ADE" w:rsidRPr="00874B15" w:rsidRDefault="00E97ADE" w:rsidP="00E97ADE">
      <w:pPr>
        <w:numPr>
          <w:ilvl w:val="0"/>
          <w:numId w:val="1"/>
        </w:numPr>
        <w:spacing w:after="160" w:line="360" w:lineRule="auto"/>
        <w:ind w:left="566" w:hanging="426"/>
        <w:contextualSpacing/>
        <w:jc w:val="both"/>
        <w:rPr>
          <w:rFonts w:ascii="David" w:hAnsi="David"/>
          <w:b/>
          <w:bCs/>
          <w:noProof w:val="0"/>
        </w:rPr>
      </w:pPr>
      <w:r w:rsidRPr="00874B15">
        <w:rPr>
          <w:rFonts w:ascii="David" w:hAnsi="David"/>
          <w:noProof w:val="0"/>
          <w:rtl/>
        </w:rPr>
        <w:t xml:space="preserve"> </w:t>
      </w:r>
      <w:r w:rsidR="00487D8E" w:rsidRPr="00487D8E">
        <w:rPr>
          <w:rFonts w:ascii="David" w:hAnsi="David"/>
          <w:noProof w:val="0"/>
          <w:rtl/>
        </w:rPr>
        <w:t xml:space="preserve">עוד העידה ד"ר טשר כי: </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t xml:space="preserve">"אנחנו כבר באיחור והיא הייתה אמורה לקבל את החיסון כשהיא הגיעה בתחילת השבוע במוצאי שבת. </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t xml:space="preserve">הסיכון הולך ועולה ככל שמרחיקים את זמן החיסון, כך עולה הסיכון שלא נצליח למנוע מחלה. </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t xml:space="preserve">טטנוס זה חיידק שנמצא בקרקע, באדמה ובכל מקום בטבע, החיידק הזה אוהב לשגשג בתנאים שיש להם אספקת דם מוגבלת ומעט חמצן ולכן פציעות משמעותיות הן בסיכון משמעותי לזיהום. </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t>במקרה של הילדה המדוברת, מדובר בפציעה מאד משמעותית שלה הרס ניכר של רקמות, קיר בטון, עם חתך עמוק שעירב את הסחוס. אין ספק שמדובר בפציעה משמעותית וחייבת חיסון."</w:t>
      </w:r>
    </w:p>
    <w:p w:rsidR="00E97ADE" w:rsidRPr="00874B15" w:rsidRDefault="00E97ADE" w:rsidP="00E97ADE">
      <w:pPr>
        <w:spacing w:after="160" w:line="360" w:lineRule="auto"/>
        <w:ind w:left="566"/>
        <w:contextualSpacing/>
        <w:jc w:val="both"/>
        <w:rPr>
          <w:rFonts w:ascii="David" w:hAnsi="David"/>
          <w:noProof w:val="0"/>
          <w:rtl/>
        </w:rPr>
      </w:pPr>
      <w:r w:rsidRPr="00874B15">
        <w:rPr>
          <w:rFonts w:ascii="David" w:hAnsi="David"/>
          <w:noProof w:val="0"/>
          <w:rtl/>
        </w:rPr>
        <w:t>(עמ' 6 לפרו' ).</w:t>
      </w:r>
    </w:p>
    <w:p w:rsidR="00E97ADE" w:rsidRPr="00874B15" w:rsidRDefault="00E97ADE" w:rsidP="00E97ADE">
      <w:pPr>
        <w:spacing w:after="160" w:line="360" w:lineRule="auto"/>
        <w:ind w:left="566"/>
        <w:contextualSpacing/>
        <w:jc w:val="both"/>
        <w:rPr>
          <w:rFonts w:ascii="David" w:hAnsi="David"/>
          <w:noProof w:val="0"/>
          <w:rtl/>
        </w:rPr>
      </w:pPr>
    </w:p>
    <w:p w:rsidR="00E97ADE" w:rsidRPr="00874B15" w:rsidRDefault="00E97ADE" w:rsidP="00E97ADE">
      <w:pPr>
        <w:spacing w:after="160" w:line="360" w:lineRule="auto"/>
        <w:ind w:left="566"/>
        <w:contextualSpacing/>
        <w:jc w:val="both"/>
        <w:rPr>
          <w:rFonts w:ascii="David" w:hAnsi="David"/>
          <w:noProof w:val="0"/>
          <w:rtl/>
        </w:rPr>
      </w:pPr>
      <w:r w:rsidRPr="00874B15">
        <w:rPr>
          <w:rFonts w:ascii="David" w:hAnsi="David"/>
          <w:noProof w:val="0"/>
          <w:rtl/>
        </w:rPr>
        <w:t>ובהמשך:</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lastRenderedPageBreak/>
        <w:t>"אין חיסון שיש עליו כל כך הרבה מידע ונתונים כמו החיסון לטטנוס. המדובר בחיסון מאד מאד בטוח שתופעות הלוואי שלו הן מאוד מקומיות וחולפות, מקוריות וקלות. במקרים נדירים הוא יכול לגרום לעליית חום חולפות ובוודאי שלא יכול לגרום לטטנוס. בזכות החיסון אנו לא רואים את הטטנוס וזה לא בגלל שהמחלה נעלמה. החיידקים נמצאים בכל מקום ובכל משטח ובזכות החיסון המחלה כמט נעלמה. בהחלט לא רואים מקרים של טטנוס במחוסנים. למה שלא תקבל לפחות חיסון סביל?"</w:t>
      </w:r>
    </w:p>
    <w:p w:rsidR="00E97ADE" w:rsidRPr="00874B15" w:rsidRDefault="00E97ADE" w:rsidP="00E97ADE">
      <w:pPr>
        <w:spacing w:after="160" w:line="360" w:lineRule="auto"/>
        <w:ind w:left="566"/>
        <w:contextualSpacing/>
        <w:jc w:val="both"/>
        <w:rPr>
          <w:rFonts w:ascii="David" w:hAnsi="David"/>
          <w:b/>
          <w:bCs/>
          <w:noProof w:val="0"/>
          <w:rtl/>
        </w:rPr>
      </w:pPr>
      <w:r w:rsidRPr="00874B15">
        <w:rPr>
          <w:rFonts w:ascii="David" w:hAnsi="David"/>
          <w:b/>
          <w:bCs/>
          <w:noProof w:val="0"/>
          <w:rtl/>
        </w:rPr>
        <w:t>(</w:t>
      </w:r>
      <w:r w:rsidRPr="00874B15">
        <w:rPr>
          <w:rFonts w:ascii="David" w:hAnsi="David"/>
          <w:noProof w:val="0"/>
          <w:rtl/>
        </w:rPr>
        <w:t>עמ' 7 לפרו'</w:t>
      </w:r>
      <w:r w:rsidRPr="00874B15">
        <w:rPr>
          <w:rFonts w:ascii="David" w:hAnsi="David"/>
          <w:b/>
          <w:bCs/>
          <w:noProof w:val="0"/>
          <w:rtl/>
        </w:rPr>
        <w:t>)</w:t>
      </w:r>
    </w:p>
    <w:p w:rsidR="00487D8E" w:rsidRPr="00874B15" w:rsidRDefault="00487D8E" w:rsidP="00E97ADE">
      <w:pPr>
        <w:spacing w:after="160" w:line="360" w:lineRule="auto"/>
        <w:ind w:left="566"/>
        <w:contextualSpacing/>
        <w:jc w:val="both"/>
        <w:rPr>
          <w:rFonts w:ascii="David" w:hAnsi="David"/>
          <w:noProof w:val="0"/>
        </w:rPr>
      </w:pPr>
    </w:p>
    <w:p w:rsidR="00487D8E" w:rsidRPr="00874B15" w:rsidRDefault="00487D8E" w:rsidP="00E97ADE">
      <w:pPr>
        <w:numPr>
          <w:ilvl w:val="0"/>
          <w:numId w:val="1"/>
        </w:numPr>
        <w:spacing w:after="160" w:line="360" w:lineRule="auto"/>
        <w:ind w:left="566" w:hanging="426"/>
        <w:contextualSpacing/>
        <w:jc w:val="both"/>
        <w:rPr>
          <w:rFonts w:ascii="David" w:hAnsi="David"/>
          <w:noProof w:val="0"/>
        </w:rPr>
      </w:pPr>
      <w:r w:rsidRPr="00487D8E">
        <w:rPr>
          <w:rFonts w:ascii="David" w:hAnsi="David"/>
          <w:noProof w:val="0"/>
          <w:rtl/>
        </w:rPr>
        <w:t>עמדת ההורים, כפי שזו הובעה ב</w:t>
      </w:r>
      <w:r w:rsidR="00E97ADE" w:rsidRPr="00874B15">
        <w:rPr>
          <w:rFonts w:ascii="David" w:hAnsi="David"/>
          <w:noProof w:val="0"/>
          <w:rtl/>
        </w:rPr>
        <w:t>מהלך הדיון, באמצעות בא כוחם, הינה כי הם</w:t>
      </w:r>
      <w:r w:rsidRPr="00487D8E">
        <w:rPr>
          <w:rFonts w:ascii="David" w:hAnsi="David"/>
          <w:noProof w:val="0"/>
          <w:rtl/>
        </w:rPr>
        <w:t xml:space="preserve"> מתנגדים לביצוע החיסון וכי מקיימים שמירת בריאות טבעית ללא דרישת חיסונים שלא לצורך, וזאת בעקבות פגיעה של אחיות המשיבה מחיסונים בעברן.</w:t>
      </w:r>
    </w:p>
    <w:p w:rsidR="00487D8E" w:rsidRPr="00874B15" w:rsidRDefault="00487D8E" w:rsidP="00E97ADE">
      <w:pPr>
        <w:numPr>
          <w:ilvl w:val="0"/>
          <w:numId w:val="1"/>
        </w:numPr>
        <w:spacing w:after="160" w:line="360" w:lineRule="auto"/>
        <w:ind w:left="566" w:hanging="426"/>
        <w:contextualSpacing/>
        <w:jc w:val="both"/>
        <w:rPr>
          <w:rFonts w:ascii="David" w:hAnsi="David"/>
          <w:noProof w:val="0"/>
        </w:rPr>
      </w:pPr>
      <w:r w:rsidRPr="00487D8E">
        <w:rPr>
          <w:rFonts w:ascii="David" w:hAnsi="David"/>
          <w:noProof w:val="0"/>
          <w:rtl/>
        </w:rPr>
        <w:t>עוד מסר ב"כ המשיבים כי ערך בירור</w:t>
      </w:r>
      <w:r w:rsidR="00E97ADE" w:rsidRPr="00874B15">
        <w:rPr>
          <w:rFonts w:ascii="David" w:hAnsi="David"/>
          <w:noProof w:val="0"/>
          <w:rtl/>
        </w:rPr>
        <w:t xml:space="preserve"> (במהלך ההפסקה )</w:t>
      </w:r>
      <w:r w:rsidRPr="00487D8E">
        <w:rPr>
          <w:rFonts w:ascii="David" w:hAnsi="David"/>
          <w:noProof w:val="0"/>
          <w:rtl/>
        </w:rPr>
        <w:t xml:space="preserve"> לגבי החיסונים ובהנחיות משרד הבריאות וכי נתברר לו כי המדובר בתרכיב שלא עבר הליכי רישום.</w:t>
      </w:r>
    </w:p>
    <w:p w:rsidR="00E97ADE" w:rsidRPr="00874B15" w:rsidRDefault="00E97ADE" w:rsidP="00E97ADE">
      <w:pPr>
        <w:spacing w:after="160" w:line="360" w:lineRule="auto"/>
        <w:ind w:left="566"/>
        <w:contextualSpacing/>
        <w:jc w:val="both"/>
        <w:rPr>
          <w:rFonts w:ascii="David" w:hAnsi="David"/>
          <w:noProof w:val="0"/>
        </w:rPr>
      </w:pPr>
    </w:p>
    <w:p w:rsidR="00487D8E" w:rsidRPr="00874B15" w:rsidRDefault="00E97ADE" w:rsidP="00E97ADE">
      <w:pPr>
        <w:numPr>
          <w:ilvl w:val="0"/>
          <w:numId w:val="1"/>
        </w:numPr>
        <w:spacing w:after="160" w:line="360" w:lineRule="auto"/>
        <w:ind w:left="566" w:hanging="426"/>
        <w:contextualSpacing/>
        <w:jc w:val="both"/>
        <w:rPr>
          <w:rFonts w:ascii="David" w:hAnsi="David"/>
          <w:noProof w:val="0"/>
        </w:rPr>
      </w:pPr>
      <w:r w:rsidRPr="00874B15">
        <w:rPr>
          <w:rFonts w:ascii="David" w:hAnsi="David"/>
          <w:noProof w:val="0"/>
          <w:rtl/>
        </w:rPr>
        <w:t>מוסיף וטוען ב"כ</w:t>
      </w:r>
      <w:r w:rsidR="00A04648" w:rsidRPr="00874B15">
        <w:rPr>
          <w:rFonts w:ascii="David" w:hAnsi="David"/>
          <w:noProof w:val="0"/>
          <w:rtl/>
        </w:rPr>
        <w:t xml:space="preserve"> ה</w:t>
      </w:r>
      <w:r w:rsidR="00487D8E" w:rsidRPr="00487D8E">
        <w:rPr>
          <w:rFonts w:ascii="David" w:hAnsi="David"/>
          <w:noProof w:val="0"/>
          <w:rtl/>
        </w:rPr>
        <w:t xml:space="preserve">משיבים, </w:t>
      </w:r>
      <w:r w:rsidR="00A04648" w:rsidRPr="00874B15">
        <w:rPr>
          <w:rFonts w:ascii="David" w:hAnsi="David"/>
          <w:noProof w:val="0"/>
          <w:rtl/>
        </w:rPr>
        <w:t xml:space="preserve">כי </w:t>
      </w:r>
      <w:r w:rsidR="00487D8E" w:rsidRPr="00487D8E">
        <w:rPr>
          <w:rFonts w:ascii="David" w:hAnsi="David"/>
          <w:noProof w:val="0"/>
          <w:rtl/>
        </w:rPr>
        <w:t>יש להעביר הסוגיה, אשר עניינה מתן טיפול רפואי ללא הסכמה, להכרעת ועדת האתיקה, וזאת בהתאם להוראות סעיף 15 לחוק זכויות החולה.</w:t>
      </w:r>
    </w:p>
    <w:p w:rsidR="00A04648" w:rsidRPr="00874B15" w:rsidRDefault="00A04648" w:rsidP="00A04648">
      <w:pPr>
        <w:pStyle w:val="ad"/>
        <w:rPr>
          <w:rFonts w:ascii="David" w:hAnsi="David"/>
          <w:noProof w:val="0"/>
          <w:rtl/>
        </w:rPr>
      </w:pPr>
    </w:p>
    <w:p w:rsidR="00487D8E" w:rsidRPr="00874B15" w:rsidRDefault="00A04648" w:rsidP="00A04648">
      <w:pPr>
        <w:numPr>
          <w:ilvl w:val="0"/>
          <w:numId w:val="1"/>
        </w:numPr>
        <w:spacing w:after="160" w:line="360" w:lineRule="auto"/>
        <w:ind w:left="566" w:hanging="426"/>
        <w:contextualSpacing/>
        <w:jc w:val="both"/>
        <w:rPr>
          <w:rFonts w:ascii="David" w:hAnsi="David"/>
          <w:noProof w:val="0"/>
        </w:rPr>
      </w:pPr>
      <w:r w:rsidRPr="00874B15">
        <w:rPr>
          <w:rFonts w:ascii="David" w:hAnsi="David"/>
          <w:noProof w:val="0"/>
          <w:rtl/>
        </w:rPr>
        <w:t xml:space="preserve">לא מצאתי לקבל עמדת </w:t>
      </w:r>
      <w:r w:rsidR="00487D8E" w:rsidRPr="00487D8E">
        <w:rPr>
          <w:rFonts w:ascii="David" w:hAnsi="David"/>
          <w:noProof w:val="0"/>
          <w:rtl/>
        </w:rPr>
        <w:t>המשיבים.</w:t>
      </w:r>
    </w:p>
    <w:p w:rsidR="00A04648" w:rsidRPr="00874B15" w:rsidRDefault="00A04648" w:rsidP="00A04648">
      <w:pPr>
        <w:pStyle w:val="ad"/>
        <w:rPr>
          <w:rFonts w:ascii="David" w:hAnsi="David"/>
          <w:noProof w:val="0"/>
          <w:rtl/>
        </w:rPr>
      </w:pPr>
    </w:p>
    <w:p w:rsidR="00487D8E" w:rsidRPr="00874B15" w:rsidRDefault="00487D8E" w:rsidP="00A04648">
      <w:pPr>
        <w:spacing w:after="160" w:line="360" w:lineRule="auto"/>
        <w:ind w:left="566"/>
        <w:contextualSpacing/>
        <w:jc w:val="both"/>
        <w:rPr>
          <w:rFonts w:ascii="David" w:hAnsi="David"/>
          <w:noProof w:val="0"/>
        </w:rPr>
      </w:pPr>
      <w:r w:rsidRPr="00487D8E">
        <w:rPr>
          <w:rFonts w:ascii="David" w:hAnsi="David"/>
          <w:noProof w:val="0"/>
          <w:rtl/>
        </w:rPr>
        <w:t>ראשית, כאמור, חרף ההזדמנות שניתנה למשיבים, לא הוגשה חוות דעת נגדית מטעמם.</w:t>
      </w:r>
    </w:p>
    <w:p w:rsidR="00487D8E" w:rsidRPr="00874B15" w:rsidRDefault="00487D8E" w:rsidP="00A04648">
      <w:pPr>
        <w:spacing w:after="160" w:line="360" w:lineRule="auto"/>
        <w:ind w:left="566"/>
        <w:contextualSpacing/>
        <w:jc w:val="both"/>
        <w:rPr>
          <w:rFonts w:ascii="David" w:hAnsi="David"/>
          <w:noProof w:val="0"/>
        </w:rPr>
      </w:pPr>
      <w:r w:rsidRPr="00487D8E">
        <w:rPr>
          <w:rFonts w:ascii="David" w:hAnsi="David"/>
          <w:noProof w:val="0"/>
          <w:rtl/>
        </w:rPr>
        <w:lastRenderedPageBreak/>
        <w:t xml:space="preserve">שנית, המדובר בהליך שהוגש עפ"י </w:t>
      </w:r>
      <w:r w:rsidRPr="00487D8E">
        <w:rPr>
          <w:rFonts w:ascii="David" w:hAnsi="David"/>
          <w:b/>
          <w:bCs/>
          <w:noProof w:val="0"/>
          <w:rtl/>
        </w:rPr>
        <w:t>סעיף 68 (ב) לחוק הכשרות המשפטית והאפוטרופסות</w:t>
      </w:r>
      <w:r w:rsidRPr="00487D8E">
        <w:rPr>
          <w:rFonts w:ascii="David" w:hAnsi="David"/>
          <w:noProof w:val="0"/>
          <w:rtl/>
        </w:rPr>
        <w:t>, אשר מקנה לבית המשפט לענייני משפחה סמכות לנקיטת אמצעים רפואיים לצורך שמירת שלו</w:t>
      </w:r>
      <w:r w:rsidR="00A04648" w:rsidRPr="00874B15">
        <w:rPr>
          <w:rFonts w:ascii="David" w:hAnsi="David"/>
          <w:noProof w:val="0"/>
          <w:rtl/>
        </w:rPr>
        <w:t>מו של הקטין. לכן, אין מקום לפניה</w:t>
      </w:r>
      <w:r w:rsidRPr="00487D8E">
        <w:rPr>
          <w:rFonts w:ascii="David" w:hAnsi="David"/>
          <w:noProof w:val="0"/>
          <w:rtl/>
        </w:rPr>
        <w:t xml:space="preserve"> לועדת האתיקה עפ"י חוק זכויות החולה.</w:t>
      </w:r>
    </w:p>
    <w:p w:rsidR="00A04648" w:rsidRPr="00874B15" w:rsidRDefault="00A04648" w:rsidP="00A04648">
      <w:pPr>
        <w:pStyle w:val="ad"/>
        <w:rPr>
          <w:rFonts w:ascii="David" w:hAnsi="David"/>
          <w:noProof w:val="0"/>
          <w:rtl/>
        </w:rPr>
      </w:pPr>
    </w:p>
    <w:p w:rsidR="00A04648" w:rsidRPr="00874B15" w:rsidRDefault="00A04648" w:rsidP="00A04648">
      <w:pPr>
        <w:spacing w:line="360" w:lineRule="auto"/>
        <w:ind w:firstLine="566"/>
        <w:contextualSpacing/>
        <w:rPr>
          <w:rFonts w:ascii="David" w:hAnsi="David"/>
          <w:b/>
          <w:bCs/>
          <w:noProof w:val="0"/>
          <w:rtl/>
        </w:rPr>
      </w:pPr>
      <w:r w:rsidRPr="00874B15">
        <w:rPr>
          <w:rFonts w:ascii="David" w:hAnsi="David"/>
          <w:noProof w:val="0"/>
          <w:rtl/>
        </w:rPr>
        <w:t xml:space="preserve">בית המשפט העליון, בפסק הדין, אשר </w:t>
      </w:r>
      <w:r w:rsidR="00487D8E" w:rsidRPr="00487D8E">
        <w:rPr>
          <w:rFonts w:ascii="David" w:hAnsi="David"/>
          <w:noProof w:val="0"/>
          <w:rtl/>
        </w:rPr>
        <w:t xml:space="preserve">ניתן בימים אלו במסגרת תיק </w:t>
      </w:r>
      <w:r w:rsidR="00487D8E" w:rsidRPr="00487D8E">
        <w:rPr>
          <w:rFonts w:ascii="David" w:hAnsi="David"/>
          <w:b/>
          <w:bCs/>
          <w:noProof w:val="0"/>
          <w:rtl/>
        </w:rPr>
        <w:t xml:space="preserve">בע"מ 189-09-24 </w:t>
      </w:r>
    </w:p>
    <w:p w:rsidR="00A04648" w:rsidRPr="00874B15" w:rsidRDefault="00487D8E" w:rsidP="00A04648">
      <w:pPr>
        <w:spacing w:line="360" w:lineRule="auto"/>
        <w:ind w:left="566"/>
        <w:contextualSpacing/>
        <w:rPr>
          <w:rFonts w:ascii="David" w:hAnsi="David"/>
          <w:b/>
          <w:bCs/>
          <w:noProof w:val="0"/>
          <w:rtl/>
        </w:rPr>
      </w:pPr>
      <w:r w:rsidRPr="00487D8E">
        <w:rPr>
          <w:rFonts w:ascii="David" w:hAnsi="David"/>
          <w:noProof w:val="0"/>
          <w:rtl/>
        </w:rPr>
        <w:t>(מיום 1.9.2024), דחה בקשת רשות ערעור שהוגשה ביחס למקרה הדומה לנסיבות דנן, וקבע  כי:</w:t>
      </w:r>
      <w:r w:rsidR="00A04648" w:rsidRPr="00874B15">
        <w:rPr>
          <w:rFonts w:ascii="David" w:hAnsi="David"/>
          <w:b/>
          <w:bCs/>
          <w:noProof w:val="0"/>
          <w:rtl/>
        </w:rPr>
        <w:t xml:space="preserve"> </w:t>
      </w:r>
    </w:p>
    <w:p w:rsidR="00A04648" w:rsidRPr="00487D8E" w:rsidRDefault="00A04648" w:rsidP="00A04648">
      <w:pPr>
        <w:spacing w:line="360" w:lineRule="auto"/>
        <w:ind w:left="566"/>
        <w:contextualSpacing/>
        <w:rPr>
          <w:rFonts w:ascii="David" w:hAnsi="David"/>
          <w:b/>
          <w:bCs/>
          <w:noProof w:val="0"/>
        </w:rPr>
      </w:pPr>
      <w:r w:rsidRPr="00487D8E">
        <w:rPr>
          <w:rFonts w:ascii="David" w:hAnsi="David"/>
          <w:b/>
          <w:bCs/>
          <w:noProof w:val="0"/>
          <w:rtl/>
        </w:rPr>
        <w:t>"ממצאים אלה מתייחסים לקטין הספציפי ולמצבו הרפואי עקב החתך העמוק במצחו, ואין מדובר בחיסון לשם חיסון כעניין סטטיסטי גרידא. המדינה הוכיחה אפוא את הנחיצות האינדיבידואלית של החיסון באמצעות חוות דעת רפואית שנמצאה אמינה. המבקשים אף לא ניסו לסתור את האמור בחוות דעת זו על ידי הגשת תעודה רפואית או חוות דעת רפואית שתתמוך בעמדתם.</w:t>
      </w:r>
    </w:p>
    <w:p w:rsidR="00487D8E" w:rsidRPr="00874B15" w:rsidRDefault="00A04648" w:rsidP="00A04648">
      <w:pPr>
        <w:spacing w:after="160" w:line="360" w:lineRule="auto"/>
        <w:ind w:left="566"/>
        <w:contextualSpacing/>
        <w:jc w:val="both"/>
        <w:rPr>
          <w:rFonts w:ascii="David" w:hAnsi="David"/>
          <w:noProof w:val="0"/>
          <w:rtl/>
        </w:rPr>
      </w:pPr>
      <w:r w:rsidRPr="00487D8E">
        <w:rPr>
          <w:rFonts w:ascii="David" w:hAnsi="David"/>
          <w:b/>
          <w:bCs/>
          <w:noProof w:val="0"/>
          <w:rtl/>
        </w:rPr>
        <w:t>בנסיבות אלה, לא נותר לנו אלא לקבוע כי המדינה והאפוטרופסית לדין, אשר מונתה לקטין, הוכיחו כדבעי את התקיימות הנסיבות אשר מצדיקות את הפעלתו של סעיף 68 לחוק האפוטרופסות ביחס לקטין והוריו – המבקשים דכאן – במקרה שלפנינו (ולא מעבר לכך)."</w:t>
      </w:r>
    </w:p>
    <w:p w:rsidR="00A04648" w:rsidRPr="00874B15" w:rsidRDefault="00A04648" w:rsidP="00A04648">
      <w:pPr>
        <w:spacing w:after="160" w:line="360" w:lineRule="auto"/>
        <w:ind w:left="566"/>
        <w:contextualSpacing/>
        <w:jc w:val="both"/>
        <w:rPr>
          <w:rFonts w:ascii="David" w:hAnsi="David"/>
          <w:noProof w:val="0"/>
          <w:rtl/>
        </w:rPr>
      </w:pPr>
    </w:p>
    <w:p w:rsidR="00A04648" w:rsidRPr="00874B15" w:rsidRDefault="00A04648" w:rsidP="00A04648">
      <w:pPr>
        <w:spacing w:after="160" w:line="360" w:lineRule="auto"/>
        <w:contextualSpacing/>
        <w:jc w:val="both"/>
        <w:rPr>
          <w:rFonts w:ascii="David" w:hAnsi="David"/>
          <w:b/>
          <w:bCs/>
          <w:noProof w:val="0"/>
          <w:rtl/>
        </w:rPr>
      </w:pPr>
      <w:r w:rsidRPr="00874B15">
        <w:rPr>
          <w:rFonts w:ascii="David" w:hAnsi="David"/>
          <w:b/>
          <w:bCs/>
          <w:noProof w:val="0"/>
          <w:rtl/>
        </w:rPr>
        <w:t>לסיכום:</w:t>
      </w:r>
    </w:p>
    <w:p w:rsidR="00A04648" w:rsidRPr="00874B15" w:rsidRDefault="00A04648" w:rsidP="00A04648">
      <w:pPr>
        <w:spacing w:after="160" w:line="360" w:lineRule="auto"/>
        <w:contextualSpacing/>
        <w:jc w:val="both"/>
        <w:rPr>
          <w:rFonts w:ascii="David" w:hAnsi="David"/>
          <w:b/>
          <w:bCs/>
          <w:noProof w:val="0"/>
        </w:rPr>
      </w:pPr>
    </w:p>
    <w:p w:rsidR="00376829" w:rsidRDefault="00487D8E" w:rsidP="005E1A4D">
      <w:pPr>
        <w:numPr>
          <w:ilvl w:val="0"/>
          <w:numId w:val="1"/>
        </w:numPr>
        <w:spacing w:after="160" w:line="360" w:lineRule="auto"/>
        <w:contextualSpacing/>
        <w:rPr>
          <w:rFonts w:ascii="David" w:hAnsi="David"/>
          <w:noProof w:val="0"/>
        </w:rPr>
      </w:pPr>
      <w:r w:rsidRPr="00487D8E">
        <w:rPr>
          <w:rFonts w:ascii="David" w:hAnsi="David"/>
          <w:noProof w:val="0"/>
          <w:rtl/>
        </w:rPr>
        <w:t>לאור המלצות הגורמים הרפואי</w:t>
      </w:r>
      <w:r w:rsidR="005E1A4D">
        <w:rPr>
          <w:rFonts w:ascii="David" w:hAnsi="David" w:hint="cs"/>
          <w:rtl/>
        </w:rPr>
        <w:t xml:space="preserve">ים, </w:t>
      </w:r>
      <w:r w:rsidR="005E1A4D" w:rsidRPr="005E1A4D">
        <w:rPr>
          <w:rFonts w:ascii="David" w:hAnsi="David"/>
          <w:rtl/>
        </w:rPr>
        <w:t xml:space="preserve">אשר לא נסתרו ע"י המשיבים, </w:t>
      </w:r>
      <w:r w:rsidR="00376829" w:rsidRPr="00874B15">
        <w:rPr>
          <w:rFonts w:ascii="David" w:hAnsi="David"/>
          <w:rtl/>
        </w:rPr>
        <w:t xml:space="preserve"> </w:t>
      </w:r>
      <w:r w:rsidR="00376829" w:rsidRPr="00874B15">
        <w:rPr>
          <w:rFonts w:ascii="David" w:hAnsi="David"/>
          <w:noProof w:val="0"/>
          <w:rtl/>
        </w:rPr>
        <w:t>שוכנעתי כי קיימת סכנה ממשית לשלומה, בריאותה וחייה של הקטינה</w:t>
      </w:r>
      <w:r w:rsidR="005E1A4D">
        <w:rPr>
          <w:rFonts w:ascii="David" w:hAnsi="David" w:hint="cs"/>
          <w:noProof w:val="0"/>
          <w:rtl/>
        </w:rPr>
        <w:t>,</w:t>
      </w:r>
      <w:r w:rsidR="00376829" w:rsidRPr="00874B15">
        <w:rPr>
          <w:rFonts w:ascii="David" w:hAnsi="David"/>
          <w:noProof w:val="0"/>
          <w:rtl/>
        </w:rPr>
        <w:t xml:space="preserve"> ככל שלא תחוסן ותתפרץ המחלה.</w:t>
      </w:r>
    </w:p>
    <w:p w:rsidR="005E1A4D" w:rsidRPr="00874B15" w:rsidRDefault="005E1A4D" w:rsidP="005E1A4D">
      <w:pPr>
        <w:spacing w:after="160" w:line="360" w:lineRule="auto"/>
        <w:ind w:left="720"/>
        <w:contextualSpacing/>
        <w:rPr>
          <w:rFonts w:ascii="David" w:hAnsi="David"/>
          <w:noProof w:val="0"/>
          <w:rtl/>
        </w:rPr>
      </w:pPr>
      <w:r w:rsidRPr="005E1A4D">
        <w:rPr>
          <w:rFonts w:ascii="David" w:hAnsi="David"/>
          <w:noProof w:val="0"/>
          <w:rtl/>
        </w:rPr>
        <w:t>שוכנעתי כי טובת הקטינה מחייבת מתן החיסון .</w:t>
      </w:r>
    </w:p>
    <w:p w:rsidR="00487D8E" w:rsidRPr="00874B15" w:rsidRDefault="00376829" w:rsidP="005E1A4D">
      <w:pPr>
        <w:spacing w:after="160" w:line="360" w:lineRule="auto"/>
        <w:ind w:left="720"/>
        <w:contextualSpacing/>
        <w:jc w:val="both"/>
        <w:rPr>
          <w:rFonts w:ascii="David" w:hAnsi="David"/>
          <w:noProof w:val="0"/>
          <w:rtl/>
        </w:rPr>
      </w:pPr>
      <w:r w:rsidRPr="00874B15">
        <w:rPr>
          <w:rFonts w:ascii="David" w:hAnsi="David"/>
          <w:noProof w:val="0"/>
          <w:rtl/>
        </w:rPr>
        <w:t>עוד שוכנעתי כי הסיכון באי מתן החיסון עולה על הסיכון באם ינתן הח</w:t>
      </w:r>
      <w:r w:rsidR="00874B15">
        <w:rPr>
          <w:rFonts w:ascii="David" w:hAnsi="David"/>
          <w:noProof w:val="0"/>
          <w:rtl/>
        </w:rPr>
        <w:t>יסון (ככל שישנו סיכו</w:t>
      </w:r>
      <w:r w:rsidR="00874B15">
        <w:rPr>
          <w:rFonts w:ascii="David" w:hAnsi="David" w:hint="cs"/>
          <w:noProof w:val="0"/>
          <w:rtl/>
        </w:rPr>
        <w:t>ן)</w:t>
      </w:r>
      <w:r w:rsidR="00487D8E" w:rsidRPr="00487D8E">
        <w:rPr>
          <w:rFonts w:ascii="David" w:hAnsi="David"/>
          <w:noProof w:val="0"/>
          <w:rtl/>
        </w:rPr>
        <w:t xml:space="preserve"> </w:t>
      </w:r>
      <w:r w:rsidR="005E1A4D">
        <w:rPr>
          <w:rFonts w:ascii="David" w:hAnsi="David" w:hint="cs"/>
          <w:noProof w:val="0"/>
          <w:rtl/>
        </w:rPr>
        <w:t>.</w:t>
      </w:r>
    </w:p>
    <w:p w:rsidR="00376829" w:rsidRPr="00874B15" w:rsidRDefault="00376829" w:rsidP="00376829">
      <w:pPr>
        <w:spacing w:after="160" w:line="360" w:lineRule="auto"/>
        <w:ind w:left="720"/>
        <w:contextualSpacing/>
        <w:jc w:val="both"/>
        <w:rPr>
          <w:rFonts w:ascii="David" w:hAnsi="David"/>
          <w:noProof w:val="0"/>
        </w:rPr>
      </w:pPr>
    </w:p>
    <w:p w:rsidR="00376829" w:rsidRPr="00874B15" w:rsidRDefault="00376829" w:rsidP="00874B15">
      <w:pPr>
        <w:spacing w:after="160" w:line="360" w:lineRule="auto"/>
        <w:ind w:left="566"/>
        <w:contextualSpacing/>
        <w:jc w:val="both"/>
        <w:rPr>
          <w:rFonts w:ascii="David" w:hAnsi="David"/>
          <w:noProof w:val="0"/>
        </w:rPr>
      </w:pPr>
    </w:p>
    <w:p w:rsidR="00376829" w:rsidRPr="00874B15" w:rsidRDefault="00376829" w:rsidP="005E1A4D">
      <w:pPr>
        <w:numPr>
          <w:ilvl w:val="0"/>
          <w:numId w:val="1"/>
        </w:numPr>
        <w:spacing w:after="160" w:line="360" w:lineRule="auto"/>
        <w:contextualSpacing/>
        <w:jc w:val="both"/>
        <w:rPr>
          <w:rFonts w:ascii="David" w:hAnsi="David"/>
          <w:noProof w:val="0"/>
        </w:rPr>
      </w:pPr>
      <w:r w:rsidRPr="00874B15">
        <w:rPr>
          <w:rFonts w:ascii="David" w:hAnsi="David"/>
          <w:noProof w:val="0"/>
          <w:rtl/>
        </w:rPr>
        <w:t xml:space="preserve">לאור האמור לעיל, ומכח סמכותי על פי הוראות </w:t>
      </w:r>
      <w:r w:rsidRPr="005E1A4D">
        <w:rPr>
          <w:rFonts w:ascii="David" w:hAnsi="David"/>
          <w:b/>
          <w:bCs/>
          <w:noProof w:val="0"/>
          <w:rtl/>
        </w:rPr>
        <w:t xml:space="preserve">סעיף </w:t>
      </w:r>
      <w:r w:rsidR="005E1A4D">
        <w:rPr>
          <w:rFonts w:ascii="David" w:hAnsi="David" w:hint="cs"/>
          <w:b/>
          <w:bCs/>
          <w:noProof w:val="0"/>
          <w:rtl/>
        </w:rPr>
        <w:t>6</w:t>
      </w:r>
      <w:r w:rsidRPr="005E1A4D">
        <w:rPr>
          <w:rFonts w:ascii="David" w:hAnsi="David"/>
          <w:b/>
          <w:bCs/>
          <w:noProof w:val="0"/>
          <w:rtl/>
        </w:rPr>
        <w:t>8(ב) לחוק הכשרות המשפטית והאפוטרופסות</w:t>
      </w:r>
      <w:r w:rsidRPr="00874B15">
        <w:rPr>
          <w:rFonts w:ascii="David" w:hAnsi="David"/>
          <w:noProof w:val="0"/>
          <w:rtl/>
        </w:rPr>
        <w:t>, אני נעתרת לבקשה.</w:t>
      </w:r>
    </w:p>
    <w:p w:rsidR="00376829" w:rsidRPr="00874B15" w:rsidRDefault="00376829" w:rsidP="00376829">
      <w:pPr>
        <w:spacing w:after="160" w:line="360" w:lineRule="auto"/>
        <w:ind w:left="720"/>
        <w:contextualSpacing/>
        <w:jc w:val="both"/>
        <w:rPr>
          <w:rFonts w:ascii="David" w:hAnsi="David"/>
          <w:noProof w:val="0"/>
        </w:rPr>
      </w:pPr>
    </w:p>
    <w:p w:rsidR="00487D8E" w:rsidRPr="00874B15" w:rsidRDefault="00487D8E" w:rsidP="00376829">
      <w:pPr>
        <w:numPr>
          <w:ilvl w:val="0"/>
          <w:numId w:val="1"/>
        </w:numPr>
        <w:spacing w:after="160" w:line="360" w:lineRule="auto"/>
        <w:contextualSpacing/>
        <w:jc w:val="both"/>
        <w:rPr>
          <w:rFonts w:ascii="David" w:hAnsi="David"/>
          <w:noProof w:val="0"/>
        </w:rPr>
      </w:pPr>
      <w:r w:rsidRPr="00487D8E">
        <w:rPr>
          <w:rFonts w:ascii="David" w:hAnsi="David"/>
          <w:noProof w:val="0"/>
          <w:rtl/>
        </w:rPr>
        <w:t>יחד עם זאת, נוכח דבריה של ד"ר טשר בדיון היום (בעמ' 7 לפרו'), אני מאפשרת להורים לבחור באם רצונם להסתפק בחיסון הסביל בלבד.</w:t>
      </w:r>
    </w:p>
    <w:p w:rsidR="00376829" w:rsidRPr="00874B15" w:rsidRDefault="00376829" w:rsidP="00376829">
      <w:pPr>
        <w:pStyle w:val="ad"/>
        <w:rPr>
          <w:rFonts w:ascii="David" w:hAnsi="David"/>
          <w:noProof w:val="0"/>
          <w:rtl/>
        </w:rPr>
      </w:pPr>
    </w:p>
    <w:p w:rsidR="00487D8E" w:rsidRDefault="00487D8E" w:rsidP="00376829">
      <w:pPr>
        <w:numPr>
          <w:ilvl w:val="0"/>
          <w:numId w:val="1"/>
        </w:numPr>
        <w:spacing w:after="160" w:line="360" w:lineRule="auto"/>
        <w:contextualSpacing/>
        <w:jc w:val="both"/>
        <w:rPr>
          <w:rFonts w:ascii="David" w:hAnsi="David"/>
          <w:noProof w:val="0"/>
        </w:rPr>
      </w:pPr>
      <w:r w:rsidRPr="00487D8E">
        <w:rPr>
          <w:rFonts w:ascii="David" w:hAnsi="David"/>
          <w:noProof w:val="0"/>
          <w:rtl/>
        </w:rPr>
        <w:t>ככל שההורים לא ישתפו פעולה בעניין זה, החיסון שינתן יהא בהתאם להמלצות הרופאים המטפלים.</w:t>
      </w:r>
    </w:p>
    <w:p w:rsidR="005E1A4D" w:rsidRDefault="005E1A4D" w:rsidP="005E1A4D">
      <w:pPr>
        <w:pStyle w:val="ad"/>
        <w:rPr>
          <w:rFonts w:ascii="David" w:hAnsi="David"/>
          <w:noProof w:val="0"/>
          <w:rtl/>
        </w:rPr>
      </w:pPr>
    </w:p>
    <w:p w:rsidR="00376829" w:rsidRDefault="00487D8E" w:rsidP="005E1A4D">
      <w:pPr>
        <w:numPr>
          <w:ilvl w:val="0"/>
          <w:numId w:val="1"/>
        </w:numPr>
        <w:spacing w:after="160" w:line="360" w:lineRule="auto"/>
        <w:contextualSpacing/>
        <w:jc w:val="both"/>
        <w:rPr>
          <w:rFonts w:ascii="David" w:hAnsi="David"/>
          <w:noProof w:val="0"/>
        </w:rPr>
      </w:pPr>
      <w:r w:rsidRPr="00487D8E">
        <w:rPr>
          <w:rFonts w:ascii="David" w:hAnsi="David"/>
          <w:noProof w:val="0"/>
          <w:rtl/>
        </w:rPr>
        <w:t xml:space="preserve">בשים לב לפרק הזמן </w:t>
      </w:r>
      <w:r w:rsidR="00376829" w:rsidRPr="005E1A4D">
        <w:rPr>
          <w:rFonts w:ascii="David" w:hAnsi="David"/>
          <w:noProof w:val="0"/>
          <w:rtl/>
        </w:rPr>
        <w:t xml:space="preserve">שחלף </w:t>
      </w:r>
      <w:r w:rsidRPr="00487D8E">
        <w:rPr>
          <w:rFonts w:ascii="David" w:hAnsi="David"/>
          <w:noProof w:val="0"/>
          <w:rtl/>
        </w:rPr>
        <w:t>ממועד הפציעה של הקטינה (כ-72 שעות) ונוכח המלצת הגורמים הרפואיים, כאמור לעיל, לביצוע החיסון סמוך ככל שניתן למועד הפציעה, הקטינה</w:t>
      </w:r>
      <w:r w:rsidR="00376829" w:rsidRPr="005E1A4D">
        <w:rPr>
          <w:rFonts w:ascii="David" w:hAnsi="David"/>
          <w:noProof w:val="0"/>
          <w:rtl/>
        </w:rPr>
        <w:t xml:space="preserve"> תחוסן עוד היום (עד שעת חצות).</w:t>
      </w:r>
    </w:p>
    <w:p w:rsidR="005E1A4D" w:rsidRDefault="005E1A4D" w:rsidP="005E1A4D">
      <w:pPr>
        <w:pStyle w:val="ad"/>
        <w:rPr>
          <w:rFonts w:ascii="David" w:hAnsi="David"/>
          <w:noProof w:val="0"/>
          <w:rtl/>
        </w:rPr>
      </w:pPr>
    </w:p>
    <w:p w:rsidR="00376829" w:rsidRDefault="00376829" w:rsidP="005E1A4D">
      <w:pPr>
        <w:numPr>
          <w:ilvl w:val="0"/>
          <w:numId w:val="1"/>
        </w:numPr>
        <w:spacing w:after="160" w:line="360" w:lineRule="auto"/>
        <w:contextualSpacing/>
        <w:jc w:val="both"/>
        <w:rPr>
          <w:rFonts w:ascii="David" w:hAnsi="David"/>
          <w:noProof w:val="0"/>
        </w:rPr>
      </w:pPr>
      <w:r w:rsidRPr="005E1A4D">
        <w:rPr>
          <w:rFonts w:ascii="David" w:hAnsi="David"/>
          <w:noProof w:val="0"/>
          <w:rtl/>
        </w:rPr>
        <w:t>משטרת ישראל תסייע באכיפת הצו ככל שנדרש.</w:t>
      </w:r>
    </w:p>
    <w:p w:rsidR="005E1A4D" w:rsidRDefault="005E1A4D" w:rsidP="005E1A4D">
      <w:pPr>
        <w:pStyle w:val="ad"/>
        <w:rPr>
          <w:rFonts w:ascii="David" w:hAnsi="David"/>
          <w:noProof w:val="0"/>
          <w:rtl/>
        </w:rPr>
      </w:pPr>
    </w:p>
    <w:p w:rsidR="00376829" w:rsidRPr="005E1A4D" w:rsidRDefault="00376829" w:rsidP="005E1A4D">
      <w:pPr>
        <w:numPr>
          <w:ilvl w:val="0"/>
          <w:numId w:val="1"/>
        </w:numPr>
        <w:spacing w:after="160" w:line="360" w:lineRule="auto"/>
        <w:contextualSpacing/>
        <w:jc w:val="both"/>
        <w:rPr>
          <w:rFonts w:ascii="David" w:hAnsi="David"/>
          <w:noProof w:val="0"/>
        </w:rPr>
      </w:pPr>
      <w:r w:rsidRPr="005E1A4D">
        <w:rPr>
          <w:rFonts w:ascii="David" w:hAnsi="David"/>
          <w:b/>
          <w:bCs/>
          <w:noProof w:val="0"/>
          <w:rtl/>
        </w:rPr>
        <w:t xml:space="preserve">בית </w:t>
      </w:r>
      <w:r w:rsidR="00874B15" w:rsidRPr="005E1A4D">
        <w:rPr>
          <w:rFonts w:ascii="David" w:hAnsi="David"/>
          <w:b/>
          <w:bCs/>
          <w:noProof w:val="0"/>
          <w:rtl/>
        </w:rPr>
        <w:t xml:space="preserve">המשפט פונה למשיבים בבקשה כי </w:t>
      </w:r>
      <w:r w:rsidRPr="005E1A4D">
        <w:rPr>
          <w:rFonts w:ascii="David" w:hAnsi="David"/>
          <w:b/>
          <w:bCs/>
          <w:noProof w:val="0"/>
          <w:rtl/>
        </w:rPr>
        <w:t>ישתפו פעולה עם הצוות הרפואי לטובת הקטינה.</w:t>
      </w:r>
    </w:p>
    <w:p w:rsidR="00376829" w:rsidRPr="00874B15" w:rsidRDefault="00376829" w:rsidP="005E1A4D">
      <w:pPr>
        <w:spacing w:after="160" w:line="360" w:lineRule="auto"/>
        <w:ind w:left="720"/>
        <w:contextualSpacing/>
        <w:jc w:val="both"/>
        <w:rPr>
          <w:rFonts w:ascii="David" w:hAnsi="David"/>
          <w:b/>
          <w:bCs/>
          <w:noProof w:val="0"/>
        </w:rPr>
      </w:pPr>
      <w:r w:rsidRPr="00874B15">
        <w:rPr>
          <w:rFonts w:ascii="David" w:hAnsi="David"/>
          <w:b/>
          <w:bCs/>
          <w:noProof w:val="0"/>
          <w:rtl/>
        </w:rPr>
        <w:t>עוד אציין כ</w:t>
      </w:r>
      <w:r w:rsidR="00874B15" w:rsidRPr="00874B15">
        <w:rPr>
          <w:rFonts w:ascii="David" w:hAnsi="David"/>
          <w:b/>
          <w:bCs/>
          <w:noProof w:val="0"/>
          <w:rtl/>
        </w:rPr>
        <w:t>י, להתרשמותו של בית המשפט, המדובר בהורים הדואגים לטובת הקטינה ולשלומה, אך, בנסיבות דנן, מצא בית המשפט כי טובת הקטינה מחייבת מתן החיסון, אף ללא הסכמת ההורים ובניגוד להשקפתם.</w:t>
      </w:r>
    </w:p>
    <w:p w:rsidR="00487D8E" w:rsidRPr="00487D8E" w:rsidRDefault="00487D8E" w:rsidP="00874B15">
      <w:pPr>
        <w:spacing w:line="360" w:lineRule="auto"/>
        <w:jc w:val="both"/>
        <w:rPr>
          <w:rFonts w:ascii="David" w:hAnsi="David"/>
          <w:b/>
          <w:bCs/>
          <w:noProof w:val="0"/>
          <w:color w:val="FFFFFF"/>
          <w:rtl/>
        </w:rPr>
      </w:pPr>
      <w:r w:rsidRPr="00487D8E">
        <w:rPr>
          <w:rFonts w:ascii="David" w:hAnsi="David"/>
          <w:b/>
          <w:bCs/>
          <w:noProof w:val="0"/>
          <w:color w:val="FFFFFF"/>
          <w:rtl/>
        </w:rPr>
        <w:t>ו</w:t>
      </w:r>
    </w:p>
    <w:p w:rsidR="00487D8E" w:rsidRPr="00874B15" w:rsidRDefault="00487D8E" w:rsidP="00487D8E">
      <w:pPr>
        <w:spacing w:after="160" w:line="256" w:lineRule="auto"/>
        <w:rPr>
          <w:rFonts w:ascii="David" w:hAnsi="David"/>
          <w:noProof w:val="0"/>
          <w:rtl/>
        </w:rPr>
      </w:pPr>
      <w:r w:rsidRPr="00487D8E">
        <w:rPr>
          <w:rFonts w:ascii="David" w:hAnsi="David"/>
          <w:noProof w:val="0"/>
          <w:rtl/>
        </w:rPr>
        <w:t>ב"כ היועמ"ש תמציא החלטתי זו למשיבים, וזאת ללא דיחוי.</w:t>
      </w:r>
    </w:p>
    <w:p w:rsidR="00874B15" w:rsidRPr="00874B15" w:rsidRDefault="00874B15" w:rsidP="00487D8E">
      <w:pPr>
        <w:spacing w:after="160" w:line="256" w:lineRule="auto"/>
        <w:rPr>
          <w:rFonts w:ascii="David" w:hAnsi="David"/>
          <w:noProof w:val="0"/>
          <w:rtl/>
        </w:rPr>
      </w:pPr>
    </w:p>
    <w:p w:rsidR="002914D6" w:rsidRPr="00803DA0" w:rsidRDefault="00874B15" w:rsidP="00803DA0">
      <w:pPr>
        <w:spacing w:after="160" w:line="256" w:lineRule="auto"/>
        <w:rPr>
          <w:rFonts w:ascii="David" w:hAnsi="David"/>
          <w:noProof w:val="0"/>
          <w:rtl/>
        </w:rPr>
      </w:pPr>
      <w:r w:rsidRPr="00874B15">
        <w:rPr>
          <w:rFonts w:ascii="David" w:hAnsi="David"/>
          <w:noProof w:val="0"/>
          <w:rtl/>
        </w:rPr>
        <w:lastRenderedPageBreak/>
        <w:t>המזכירות תסגור את התיק.</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ל'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03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C29F6">
      <w:pPr>
        <w:spacing w:line="360" w:lineRule="auto"/>
        <w:ind w:left="3600" w:firstLine="720"/>
        <w:jc w:val="both"/>
      </w:pPr>
      <w:sdt>
        <w:sdtPr>
          <w:rPr>
            <w:rtl/>
          </w:rPr>
          <w:alias w:val="MergeField"/>
          <w:tag w:val="1237"/>
          <w:id w:val="891929374"/>
        </w:sdtPr>
        <w:sdtEndPr/>
        <w:sdtContent>
          <w:r w:rsidR="00F622AB">
            <w:drawing>
              <wp:inline distT="0" distB="0" distL="0" distR="0" wp14:editId="50D07946">
                <wp:extent cx="140970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9700" cy="850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9F6" w:rsidRDefault="002C29F6">
      <w:r>
        <w:separator/>
      </w:r>
    </w:p>
  </w:endnote>
  <w:endnote w:type="continuationSeparator" w:id="0">
    <w:p w:rsidR="002C29F6" w:rsidRDefault="002C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C69F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C69FC">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9F6" w:rsidRDefault="002C29F6">
      <w:r>
        <w:separator/>
      </w:r>
    </w:p>
  </w:footnote>
  <w:footnote w:type="continuationSeparator" w:id="0">
    <w:p w:rsidR="002C29F6" w:rsidRDefault="002C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C29F6">
          <w:pPr>
            <w:rPr>
              <w:b/>
              <w:bCs/>
              <w:noProof w:val="0"/>
              <w:sz w:val="26"/>
              <w:szCs w:val="26"/>
              <w:rtl/>
            </w:rPr>
          </w:pPr>
          <w:sdt>
            <w:sdtPr>
              <w:rPr>
                <w:rtl/>
              </w:rPr>
              <w:alias w:val="1170"/>
              <w:tag w:val="1170"/>
              <w:id w:val="-984775694"/>
              <w:text w:multiLine="1"/>
            </w:sdtPr>
            <w:sdtEndPr/>
            <w:sdtContent>
              <w:r w:rsidR="00BD18F5">
                <w:rPr>
                  <w:b/>
                  <w:bCs/>
                  <w:noProof w:val="0"/>
                  <w:sz w:val="26"/>
                  <w:szCs w:val="26"/>
                  <w:rtl/>
                </w:rPr>
                <w:t>א"פ</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6986-09-24</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משרד הרווחה והשירותים החברתיים - תל אביב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F0287"/>
    <w:multiLevelType w:val="hybridMultilevel"/>
    <w:tmpl w:val="62D4E7B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253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25351&amp;lt;/CaseID&amp;gt;_x000d__x000a_        &amp;lt;CaseMonth&amp;gt;9&amp;lt;/CaseMonth&amp;gt;_x000d__x000a_        &amp;lt;CaseYear&amp;gt;2024&amp;lt;/CaseYear&amp;gt;_x000d__x000a_        &amp;lt;CaseNumber&amp;gt;6986&amp;lt;/CaseNumber&amp;gt;_x000d__x000a_        &amp;lt;NumeratorGroupID&amp;gt;1&amp;lt;/NumeratorGroupID&amp;gt;_x000d__x000a_        &amp;lt;CaseName&amp;gt;משרד הרווחה והשירותים החברתיים - תל אביב נ&amp;#39; האפוטרופוס הכללי במחוז תל-אביב ואח&amp;#39;&amp;lt;/CaseName&amp;gt;_x000d__x000a_        &amp;lt;CourtID&amp;gt;33&amp;lt;/CourtID&amp;gt;_x000d__x000a_        &amp;lt;CaseTypeID&amp;gt;10045&amp;lt;/CaseTypeID&amp;gt;_x000d__x000a_        &amp;lt;CaseInterestID&amp;gt;10346&amp;lt;/CaseInterestID&amp;gt;_x000d__x000a_        &amp;lt;CaseJudgeName&amp;gt;ציפי כהן אביט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986-09-24&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03T13:30:00+03:00&amp;lt;/CasePreviousSessionDate&amp;gt;_x000d__x000a_        &amp;lt;CaseNextDeterminingTask&amp;gt;141&amp;lt;/CaseNextDeterminingTask&amp;gt;_x000d__x000a_        &amp;lt;TemporaryAidStatus /&amp;gt;_x000d__x000a_        &amp;lt;CaseOpenDate&amp;gt;2024-09-03T08:40:00+03:00&amp;lt;/CaseOpenDate&amp;gt;_x000d__x000a_        &amp;lt;PleaTypeID&amp;gt;5&amp;lt;/PleaTypeID&amp;gt;_x000d__x000a_        &amp;lt;CourtLevelID&amp;gt;1&amp;lt;/CourtLevelID&amp;gt;_x000d__x000a_        &amp;lt;CourtLevelCaseTypeInterestID&amp;gt;1250&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הודע טלפונית לנאוה מהיועמש_x000d__x000a__x000d__x000a_הדס &amp;lt;/CaseDesc&amp;gt;_x000d__x000a_        &amp;lt;isExistMinorSide&amp;gt;tru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25351&amp;lt;/CaseID&amp;gt;_x000d__x000a_        &amp;lt;CaseMonth&amp;gt;9&amp;lt;/CaseMonth&amp;gt;_x000d__x000a_        &amp;lt;CaseYear&amp;gt;2024&amp;lt;/CaseYear&amp;gt;_x000d__x000a_        &amp;lt;CaseNumber&amp;gt;6986&amp;lt;/CaseNumber&amp;gt;_x000d__x000a_        &amp;lt;NumeratorGroupID&amp;gt;1&amp;lt;/NumeratorGroupID&amp;gt;_x000d__x000a_        &amp;lt;CaseName&amp;gt;משרד הרווחה והשירותים החברתיים - תל אביב נ&amp;#39; האפוטרופוס הכללי במחוז תל-אביב ואח&amp;#39;&amp;lt;/CaseName&amp;gt;_x000d__x000a_        &amp;lt;CourtID&amp;gt;33&amp;lt;/CourtID&amp;gt;_x000d__x000a_        &amp;lt;CaseTypeID&amp;gt;10045&amp;lt;/CaseTypeID&amp;gt;_x000d__x000a_        &amp;lt;CaseInterestID&amp;gt;10346&amp;lt;/CaseInterestID&amp;gt;_x000d__x000a_        &amp;lt;CaseJudgeName&amp;gt;ציפי כהן אביט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986-09-24&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4-09-03T08:40:00+03:00&amp;lt;/CaseOpenDate&amp;gt;_x000d__x000a_        &amp;lt;PleaTypeID&amp;gt;5&amp;lt;/PleaTypeID&amp;gt;_x000d__x000a_        &amp;lt;CourtLevelID&amp;gt;1&amp;lt;/CourtLevelID&amp;gt;_x000d__x000a_        &amp;lt;CourtLevelCaseTypeInterestID&amp;gt;1250&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הודע טלפונית לנאוה מהיועמש_x000d__x000a__x000d__x000a_הדס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3T21:08:51.3047413+03:00&amp;lt;/DecisionStatusChangeDate&amp;gt;_x000d__x000a_        &amp;lt;DecisionSignatureDate&amp;gt;2024-09-03T21:08:51.3047413+03:00&amp;lt;/DecisionSignatureDate&amp;gt;_x000d__x000a_        &amp;lt;DecisionSignatureUserID&amp;gt;025402884@GOV.IL&amp;lt;/DecisionSignatureUserID&amp;gt;_x000d__x000a_        &amp;lt;DecisionCreateDate&amp;gt;2024-09-03T21:08:51.3047413+03:00&amp;lt;/DecisionCreateDate&amp;gt;_x000d__x000a_        &amp;lt;DecisionChangeDate&amp;gt;2024-09-03T21:08:51.3047413+03:00&amp;lt;/DecisionChangeDate&amp;gt;_x000d__x000a_        &amp;lt;DecisionChangeUserID&amp;gt;0254028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028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028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2535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346"/>
    <w:docVar w:name="NGCS.TemplateCaseTypeID" w:val="10045"/>
    <w:docVar w:name="NGCS.TemplateCategoryID" w:val="80"/>
    <w:docVar w:name="NGCS.TemplateCourtID" w:val="33"/>
    <w:docVar w:name="NGCS.TemplateProceedingID" w:val="3"/>
    <w:docVar w:name="SelectedDocumentID" w:val="454054865"/>
    <w:docVar w:name="WordClientAssemblyName" w:val="NGCS.Decision.ClientWordBL"/>
    <w:docVar w:name="WordClientClassName" w:val="NGCS.Decision.ClientWordBL.DecisionClient"/>
  </w:docVars>
  <w:rsids>
    <w:rsidRoot w:val="002914D6"/>
    <w:rsid w:val="00011212"/>
    <w:rsid w:val="00023A60"/>
    <w:rsid w:val="001C69FC"/>
    <w:rsid w:val="00265648"/>
    <w:rsid w:val="002914D6"/>
    <w:rsid w:val="002C29F6"/>
    <w:rsid w:val="002F5307"/>
    <w:rsid w:val="00376829"/>
    <w:rsid w:val="00487D8E"/>
    <w:rsid w:val="005E1A4D"/>
    <w:rsid w:val="00666802"/>
    <w:rsid w:val="006C4051"/>
    <w:rsid w:val="007C1077"/>
    <w:rsid w:val="007C6BD7"/>
    <w:rsid w:val="00803DA0"/>
    <w:rsid w:val="00822AA5"/>
    <w:rsid w:val="00874B15"/>
    <w:rsid w:val="008C5D41"/>
    <w:rsid w:val="0091072C"/>
    <w:rsid w:val="009108D7"/>
    <w:rsid w:val="00A04648"/>
    <w:rsid w:val="00A76F95"/>
    <w:rsid w:val="00BD18F5"/>
    <w:rsid w:val="00BD5B6B"/>
    <w:rsid w:val="00C40239"/>
    <w:rsid w:val="00C931BD"/>
    <w:rsid w:val="00D358FE"/>
    <w:rsid w:val="00D54B3A"/>
    <w:rsid w:val="00E9298F"/>
    <w:rsid w:val="00E97ADE"/>
    <w:rsid w:val="00F50E07"/>
    <w:rsid w:val="00F622AB"/>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A3F38F-E583-467E-BF15-19F36BA7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48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2708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C4213"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8C4213"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8C4213"/>
    <w:rsid w:val="00A32E59"/>
    <w:rsid w:val="00A5202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276944481</CasePartyID>
        <PartyTypeID>1</PartyTypeID>
        <ActivityStatusID>1</ActivityStatusID>
        <PartyAliasID>3</PartyAliasID>
        <PartyAliasName>מבקש</PartyAliasName>
        <OrdinalNumber>1</OrdinalNumber>
        <LegalEntityID>379232</LegalEntityID>
        <CaseLegalEntityID>132094106</CaseLegalEntityID>
        <AuthenticationTypeID>13</AuthenticationTypeID>
        <AuthenticationTypeName>משרדי ממשלה</AuthenticationTypeName>
        <LegalEntityNumber>500106212</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LinkedCaseID>0</LinkedCaseID>
        <PartyID>1</PartyID>
        <CasePartyCategoryID>2</CasePartyCategoryID>
        <LegalEntityAddressID>80408672</LegalEntityAddressID>
        <PleaTypeID>5</PleaTypeID>
        <GroupPartyAlias>מבקשים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276944482</CasePartyID>
        <PartyTypeID>2</PartyTypeID>
        <ActivityStatusID>1</ActivityStatusID>
        <PartyAliasID>22</PartyAliasID>
        <PartyAliasName>בא כוח מבקשים</PartyAliasName>
        <OrdinalNumber>1</OrdinalNumber>
        <LegalEntityID>394748</LegalEntityID>
        <CaseLegalEntityID>132094107</CaseLegalEntityID>
        <AuthenticationTypeID>4</AuthenticationTypeID>
        <AuthenticationTypeName>מ.ר.</AuthenticationTypeName>
        <LegalEntityNumber>10932</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FatherName xml:space="preserve">        </FatherName>
        <LinkedCaseID>0</LinkedCaseID>
        <PartyID>1</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276944483</CasePartyID>
        <PartyTypeID>1</PartyTypeID>
        <ActivityStatusID>1</ActivityStatusID>
        <PartyAliasID>4</PartyAliasID>
        <PartyAliasName>משיב</PartyAliasName>
        <OrdinalNumber>1</OrdinalNumber>
        <LegalEntityID>6761</LegalEntityID>
        <CaseLegalEntityID>132094108</CaseLegalEntityID>
        <AuthenticationTypeID>13</AuthenticationTypeID>
        <AuthenticationTypeName>משרדי ממשלה</AuthenticationTypeName>
        <LegalEntityNumber>999010</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מאיה נובק (קטין)</FullName>
        <FirstName>מאיה</FirstName>
        <LastName>נובק</LastName>
        <PartyPropertyID>2</PartyPropertyID>
        <PartyPropertyName/>
        <AuthenticationTypeAndNumber>ת"ז 236892121</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276944484</CasePartyID>
        <PartyTypeID>1</PartyTypeID>
        <ActivityStatusID>1</ActivityStatusID>
        <PartyAliasID>4</PartyAliasID>
        <PartyAliasName>משיב</PartyAliasName>
        <OrdinalNumber>2</OrdinalNumber>
        <LegalEntityID>82940045</LegalEntityID>
        <CaseLegalEntityID>132094109</CaseLegalEntityID>
        <AuthenticationTypeID>1</AuthenticationTypeID>
        <AuthenticationTypeName>ת"ז</AuthenticationTypeName>
        <LegalEntityNumber>236892121</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
        <MotionID>0</MotionID>
        <CasePleaID>0</CasePleaID>
        <FatherName>קיריל</FatherName>
        <LinkedCaseID>0</LinkedCaseID>
        <PartyID>2</PartyID>
        <CasePartyCategoryID>2</CasePartyCategoryID>
        <PleaTypeID>5</PleaTypeID>
        <GroupPartyAlias>משיבים</GroupPartyAlias>
        <IsConverted>false</IsConverted>
        <LegalEntityRegisteredNameID>10875870</LegalEntityRegisteredNameID>
        <LegalEntityNameID>98150380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נובק (קטין)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קיריל נובק</FullName>
        <FirstName>קיריל</FirstName>
        <LastName>נובק</LastName>
        <PartyPropertyName/>
        <AuthenticationTypeAndNumber>ת"ז 341010726</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276944485</CasePartyID>
        <PartyTypeID>1</PartyTypeID>
        <ActivityStatusID>1</ActivityStatusID>
        <PartyAliasID>4</PartyAliasID>
        <PartyAliasName>משיב</PartyAliasName>
        <OrdinalNumber>3</OrdinalNumber>
        <LegalEntityID>82940046</LegalEntityID>
        <CaseLegalEntityID>132094110</CaseLegalEntityID>
        <AuthenticationTypeID>1</AuthenticationTypeID>
        <AuthenticationTypeName>ת"ז</AuthenticationTypeName>
        <LegalEntityNumber>341010726</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ז'בוטינסקי 30 כניסה ב' דירה 1 חולון </FullAddress>
        <MotionID>0</MotionID>
        <CasePleaID>0</CasePleaID>
        <FatherName>מרק</FatherName>
        <LinkedCaseID>0</LinkedCaseID>
        <PartyID>2</PartyID>
        <CasePartyCategoryID>2</CasePartyCategoryID>
        <LegalEntityAddressID>90901824</LegalEntityAddressID>
        <PleaTypeID>5</PleaTypeID>
        <GroupPartyAlias>משיבים</GroupPartyAlias>
        <IsConverted>false</IsConverted>
        <LegalEntityRegisteredNameID>10875871</LegalEntityRegisteredNameID>
        <LegalEntityNameID>98150381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קיריל נובק</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נטליה קרסולין נובק</FullName>
        <FirstName>נטליה</FirstName>
        <LastName>קרסולין</LastName>
        <PartyPropertyName/>
        <AuthenticationTypeAndNumber>ת"ז 338085277</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276944486</CasePartyID>
        <PartyTypeID>1</PartyTypeID>
        <ActivityStatusID>1</ActivityStatusID>
        <PartyAliasID>4</PartyAliasID>
        <PartyAliasName>משיב</PartyAliasName>
        <OrdinalNumber>4</OrdinalNumber>
        <LegalEntityID>82940047</LegalEntityID>
        <CaseLegalEntityID>132094111</CaseLegalEntityID>
        <AuthenticationTypeID>1</AuthenticationTypeID>
        <AuthenticationTypeName>ת"ז</AuthenticationTypeName>
        <LegalEntityNumber>338085277</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ז'בוטינסקי 30 כניסה ב' דירה 1 חולון </FullAddress>
        <MotionID>0</MotionID>
        <CasePleaID>0</CasePleaID>
        <FatherName>גריגורי</FatherName>
        <LinkedCaseID>0</LinkedCaseID>
        <PartyID>2</PartyID>
        <CasePartyCategoryID>2</CasePartyCategoryID>
        <LegalEntityAddressID>90901825</LegalEntityAddressID>
        <PleaTypeID>5</PleaTypeID>
        <GroupPartyAlias>משיבים</GroupPartyAlias>
        <IsConverted>false</IsConverted>
        <LegalEntityRegisteredNameID>10875872</LegalEntityRegisteredNameID>
        <LegalEntityNameID>98150382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קרסולין נובק</PublicationProhibitedFullName>
      </CaseParties>
    </CasePartiesSelectionDS>
    <DecisionName>פסק דין  שניתנה ע"י  ציפי כהן אביטן</DecisionName>
    <CourtDisplayName>בית משפט לענייני משפחה בתל אביב -יפו</CourtDisplayName>
    <IsCaseJudgePanel>false</IsCaseJudgePanel>
    <DecisionSignatureDate>2024-09-03T21:08:51.3047413+03:00</DecisionSignatureDate>
    <OpenCaseDate>2024-09-03T08:40:00+03:00</OpenCaseDate>
    <CaseFeeSum>0.000</CaseFeeSum>
    <DecisionTypeID>2</DecisionTypeID>
    <DecisionSignatureUserName>ציפי כהן אביטן</DecisionSignatureUserName>
    <DecisionSignatureDateHebrew>2024-09-03T21:08:51.3047413+03:00</DecisionSignatureDateHebrew>
    <DecisionWriterID>025402884@GOV.IL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משרד הרווחה והשירותים החברתיים - תל אביב נ' האפוטרופוס הכללי במחוז תל-אביב ואח'</CaseName>
    <DecisionNumberInCase>2</DecisionNumberInCase>
  </dt_Decision>
  <dt_DecisionCase>
    <DecisionID>0</DecisionID>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276944481</CasePartyID>
        <PartyTypeID>1</PartyTypeID>
        <ActivityStatusID>1</ActivityStatusID>
        <PartyAliasID>3</PartyAliasID>
        <PartyAliasName>מבקש</PartyAliasName>
        <OrdinalNumber>1</OrdinalNumber>
        <LegalEntityID>379232</LegalEntityID>
        <CaseLegalEntityID>132094106</CaseLegalEntityID>
        <AuthenticationTypeID>13</AuthenticationTypeID>
        <AuthenticationTypeName>משרדי ממשלה</AuthenticationTypeName>
        <LegalEntityNumber>500106212</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LinkedCaseID>0</LinkedCaseID>
        <PartyID>1</PartyID>
        <CasePartyCategoryID>2</CasePartyCategoryID>
        <LegalEntityAddressID>80408672</LegalEntityAddressID>
        <PleaTypeID>5</PleaTypeID>
        <GroupPartyAlias>מבקשים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276944482</CasePartyID>
        <PartyTypeID>2</PartyTypeID>
        <ActivityStatusID>1</ActivityStatusID>
        <PartyAliasID>22</PartyAliasID>
        <PartyAliasName>בא כוח מבקשים</PartyAliasName>
        <OrdinalNumber>1</OrdinalNumber>
        <LegalEntityID>394748</LegalEntityID>
        <CaseLegalEntityID>132094107</CaseLegalEntityID>
        <AuthenticationTypeID>4</AuthenticationTypeID>
        <AuthenticationTypeName>מ.ר.</AuthenticationTypeName>
        <LegalEntityNumber>10932</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FatherName xml:space="preserve">        </FatherName>
        <LinkedCaseID>0</LinkedCaseID>
        <PartyID>1</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276944483</CasePartyID>
        <PartyTypeID>1</PartyTypeID>
        <ActivityStatusID>1</ActivityStatusID>
        <PartyAliasID>4</PartyAliasID>
        <PartyAliasName>משיב</PartyAliasName>
        <OrdinalNumber>1</OrdinalNumber>
        <LegalEntityID>6761</LegalEntityID>
        <CaseLegalEntityID>132094108</CaseLegalEntityID>
        <AuthenticationTypeID>13</AuthenticationTypeID>
        <AuthenticationTypeName>משרדי ממשלה</AuthenticationTypeName>
        <LegalEntityNumber>999010</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מאיה נובק (קטין)</FullName>
        <FirstName>מאיה</FirstName>
        <LastName>נובק</LastName>
        <PartyPropertyID>2</PartyPropertyID>
        <PartyPropertyName/>
        <AuthenticationTypeAndNumber>ת"ז 236892121</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276944484</CasePartyID>
        <PartyTypeID>1</PartyTypeID>
        <ActivityStatusID>1</ActivityStatusID>
        <PartyAliasID>4</PartyAliasID>
        <PartyAliasName>משיב</PartyAliasName>
        <OrdinalNumber>2</OrdinalNumber>
        <LegalEntityID>82940045</LegalEntityID>
        <CaseLegalEntityID>132094109</CaseLegalEntityID>
        <AuthenticationTypeID>1</AuthenticationTypeID>
        <AuthenticationTypeName>ת"ז</AuthenticationTypeName>
        <LegalEntityNumber>236892121</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
        <MotionID>0</MotionID>
        <CasePleaID>0</CasePleaID>
        <FatherName>קיריל</FatherName>
        <LinkedCaseID>0</LinkedCaseID>
        <PartyID>2</PartyID>
        <CasePartyCategoryID>2</CasePartyCategoryID>
        <PleaTypeID>5</PleaTypeID>
        <GroupPartyAlias>משיבים</GroupPartyAlias>
        <IsConverted>false</IsConverted>
        <LegalEntityRegisteredNameID>10875870</LegalEntityRegisteredNameID>
        <LegalEntityNameID>98150380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נובק (קטין)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קיריל נובק</FullName>
        <FirstName>קיריל</FirstName>
        <LastName>נובק</LastName>
        <PartyPropertyName/>
        <AuthenticationTypeAndNumber>ת"ז 341010726</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276944485</CasePartyID>
        <PartyTypeID>1</PartyTypeID>
        <ActivityStatusID>1</ActivityStatusID>
        <PartyAliasID>4</PartyAliasID>
        <PartyAliasName>משיב</PartyAliasName>
        <OrdinalNumber>3</OrdinalNumber>
        <LegalEntityID>82940046</LegalEntityID>
        <CaseLegalEntityID>132094110</CaseLegalEntityID>
        <AuthenticationTypeID>1</AuthenticationTypeID>
        <AuthenticationTypeName>ת"ז</AuthenticationTypeName>
        <LegalEntityNumber>341010726</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ז'בוטינסקי 30 כניסה ב' דירה 1 חולון </FullAddress>
        <MotionID>0</MotionID>
        <CasePleaID>0</CasePleaID>
        <FatherName>מרק</FatherName>
        <LinkedCaseID>0</LinkedCaseID>
        <PartyID>2</PartyID>
        <CasePartyCategoryID>2</CasePartyCategoryID>
        <LegalEntityAddressID>90901824</LegalEntityAddressID>
        <PleaTypeID>5</PleaTypeID>
        <GroupPartyAlias>משיבים</GroupPartyAlias>
        <IsConverted>false</IsConverted>
        <LegalEntityRegisteredNameID>10875871</LegalEntityRegisteredNameID>
        <LegalEntityNameID>98150381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קיריל נובק</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נטליה קרסולין נובק</FullName>
        <FirstName>נטליה</FirstName>
        <LastName>קרסולין</LastName>
        <PartyPropertyName/>
        <AuthenticationTypeAndNumber>ת"ז 338085277</AuthenticationTypeAndNumber>
        <RepresentatedOrRepresentativesNames/>
        <RepresentatedOrRepresentativesCount>0</RepresentatedOrRepresentativesCount>
        <InvitedBy/>
        <CaseID>81925351</CaseID>
        <CaseJudicialPersonPresentationDS>
          <CaseJudicalPersonActive>
            <CaseID>81925351</CaseID>
            <JudicialPersonID>025402884@GOV.IL</JudicialPersonID>
            <JudicialPersonTypeID>1</JudicialPersonTypeID>
            <JudicialTypeID>1</JudicialTypeID>
            <IsChairman>false</IsChairman>
            <TreatmentStartDate>2024-09-03T10:55:57.587+03:00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276944486</CasePartyID>
        <PartyTypeID>1</PartyTypeID>
        <ActivityStatusID>1</ActivityStatusID>
        <PartyAliasID>4</PartyAliasID>
        <PartyAliasName>משיב</PartyAliasName>
        <OrdinalNumber>4</OrdinalNumber>
        <LegalEntityID>82940047</LegalEntityID>
        <CaseLegalEntityID>132094111</CaseLegalEntityID>
        <AuthenticationTypeID>1</AuthenticationTypeID>
        <AuthenticationTypeName>ת"ז</AuthenticationTypeName>
        <LegalEntityNumber>338085277</LegalEntityNumber>
        <IsMainPartyType>true</IsMainPartyType>
        <CaseDisplayIdentifier>6986-09-24</CaseDisplayIdentifier>
        <CaseTypeID>10045</CaseTypeID>
        <CaseTypeName>אפוטרופסות (א"פ)</CaseTypeName>
        <CaseName>משרד הרווחה והשירותים החברתיים - תל אביב נ' האפוטרופוס הכללי במחוז תל-אביב ואח'</CaseName>
        <FullAddress>ז'בוטינסקי 30 כניסה ב' דירה 1 חולון </FullAddress>
        <MotionID>0</MotionID>
        <CasePleaID>0</CasePleaID>
        <FatherName>גריגורי</FatherName>
        <LinkedCaseID>0</LinkedCaseID>
        <PartyID>2</PartyID>
        <CasePartyCategoryID>2</CasePartyCategoryID>
        <LegalEntityAddressID>90901825</LegalEntityAddressID>
        <PleaTypeID>5</PleaTypeID>
        <GroupPartyAlias>משיבים</GroupPartyAlias>
        <IsConverted>false</IsConverted>
        <LegalEntityRegisteredNameID>10875872</LegalEntityRegisteredNameID>
        <LegalEntityNameID>98150382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קרסולין נובק</PublicationProhibitedFullName>
      </CaseParties>
    </CasePartiesSelectionDS>
    <CaseName>משרד הרווחה והשירותים החברתיים - תל אביב נ' האפוטרופוס הכללי במחוז תל-אביב ואח'</CaseName>
    <CaseDisplayIdentifier>6986-09-24</CaseDisplayIdentifier>
    <CaseInterestID>10346</CaseInterestID>
    <CaseTypeShortName>א"פ</CaseTypeShortName>
  </dt_DecisionCase>
  <dt_DecisionJudgePanel>
    <JudgeID>025402884@GOV.IL</JudgeID>
    <DisplayName>ציפי כהן אביטן</DisplayName>
    <RoleName>שופט</RoleName>
    <UserTitleName>שופטת</UserTitleName>
  </dt_DecisionJudgePanel>
  <dt_LegalEntityDetails>
    <PartyID>1</PartyID>
    <PartyTypeID>1</PartyTypeID>
    <DecisionID>0</DecisionID>
    <StreetName>קיבוץ גלויות 106</StreetName>
    <CityName>תל אביב -יפו</CityName>
    <FullName> משרד הרווחה והשירותים החברתיים - תל אביב</FullName>
    <Email>davidh@rishonlezion.muni.il</Email>
    <IsPublicationProhibited>false</IsPublicationProhibited>
  </dt_LegalEntityDetails>
  <dt_LegalEntityDetails>
    <Fax>03-5703248</Fax>
    <Phone>03-5124300</Phone>
    <PartyID>1</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מאיה נובק</FullName>
    <IsPublicationProhibited>false</IsPublicationProhibited>
  </dt_LegalEntityDetails>
  <dt_LegalEntityDetails>
    <PartyID>2</PartyID>
    <PartyTypeID>1</PartyTypeID>
    <DecisionID>0</DecisionID>
    <StreetName>ז'בוטינסקי 30 כניסה ב' דירה 1 </StreetName>
    <ZipCode>5828513</ZipCode>
    <CityName>חולון</CityName>
    <FullName>קיריל נובק </FullName>
    <IsPublicationProhibited>false</IsPublicationProhibited>
  </dt_LegalEntityDetails>
  <dt_LegalEntityDetails>
    <PartyID>2</PartyID>
    <PartyTypeID>1</PartyTypeID>
    <DecisionID>0</DecisionID>
    <StreetName>ז'בוטינסקי 30 כניסה ב' דירה 1 </StreetName>
    <ZipCode>5828513</ZipCode>
    <CityName>חולון</CityName>
    <FullName>נטליה  קרסולין נובק </FullName>
    <IsPublicationProhibited>false</IsPublicationProhibited>
  </dt_LegalEntityDetails>
  <dt_CaseJudicalPersonActive>
    <CaseJudicalPerson>שופטת ציפי כהן אביטן</CaseJudicalPerson>
  </dt_CaseJudicalPersonActive>
  <dt_Sitting>
    <PreviousMeetingDate>2024-09-03T13:30:00+03:00</PreviousMeetingDate>
    <PreviousSittingTypeID>1</PreviousSittingTypeID>
    <PreviousMeetingDisplayName>שופטת ציפי כהן אביטן</PreviousMeetingDisplayName>
    <PreviousMeetingRoleName>שופט</PreviousMeetingRoleName>
    <PreviousMeetingUserTitleName>שופטת</PreviousMeetingUserTitleName>
    <PreviousMeetingUserUPN>025402884@GOV.IL</PreviousMeetingUserUPN>
  </dt_Sitting>
  <dt_InMatterOfCase>
    <InMatterOfCaseID>152571</InMatterOfCaseID>
    <AuthenticationTypeID>1</AuthenticationTypeID>
    <AuthenticationNumber>236892121</AuthenticationNumber>
    <FirstName>מאיה</FirstName>
    <LastName>נובק </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43025-0026-4279-B482-6ED7992B3EC7}">
  <ds:schemaRefs/>
</ds:datastoreItem>
</file>

<file path=customXml/itemProps2.xml><?xml version="1.0" encoding="utf-8"?>
<ds:datastoreItem xmlns:ds="http://schemas.openxmlformats.org/officeDocument/2006/customXml" ds:itemID="{57E67969-6EF3-4447-895F-0D343C26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1208</Words>
  <Characters>6041</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2024-09-09T06:27:00Z</dcterms:created>
  <dcterms:modified xsi:type="dcterms:W3CDTF">2024-09-09T06:27:00Z</dcterms:modified>
</cp:coreProperties>
</file>